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A3D45">
      <w:pPr>
        <w:widowControl/>
        <w:jc w:val="left"/>
      </w:pPr>
      <w:bookmarkStart w:id="1" w:name="_GoBack"/>
      <w:bookmarkEnd w:id="1"/>
      <w:bookmarkStart w:id="0" w:name="_Hlk198143181"/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KEY RESOURCES TABLE</w:t>
      </w:r>
    </w:p>
    <w:tbl>
      <w:tblPr>
        <w:tblStyle w:val="8"/>
        <w:tblW w:w="82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4"/>
        <w:gridCol w:w="1418"/>
        <w:gridCol w:w="2835"/>
      </w:tblGrid>
      <w:tr w14:paraId="55A0E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shd w:val="clear" w:color="auto" w:fill="FBE6D6" w:themeFill="accent2" w:themeFillTint="32"/>
          </w:tcPr>
          <w:p w14:paraId="2D0D40F5">
            <w:pPr>
              <w:widowControl/>
              <w:jc w:val="left"/>
              <w:rPr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REAGENT or RESOURCE </w:t>
            </w:r>
          </w:p>
        </w:tc>
        <w:tc>
          <w:tcPr>
            <w:tcW w:w="1418" w:type="dxa"/>
            <w:shd w:val="clear" w:color="auto" w:fill="FBE6D6" w:themeFill="accent2" w:themeFillTint="32"/>
          </w:tcPr>
          <w:p w14:paraId="7081B604">
            <w:pPr>
              <w:widowControl/>
              <w:jc w:val="left"/>
              <w:rPr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SOURCE </w:t>
            </w:r>
          </w:p>
        </w:tc>
        <w:tc>
          <w:tcPr>
            <w:tcW w:w="2835" w:type="dxa"/>
            <w:shd w:val="clear" w:color="auto" w:fill="FBE6D6" w:themeFill="accent2" w:themeFillTint="32"/>
          </w:tcPr>
          <w:p w14:paraId="3B30AE71">
            <w:pPr>
              <w:widowControl/>
              <w:jc w:val="left"/>
              <w:rPr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IDENTIFIER</w:t>
            </w:r>
          </w:p>
        </w:tc>
      </w:tr>
      <w:tr w14:paraId="37698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217" w:type="dxa"/>
            <w:gridSpan w:val="3"/>
            <w:shd w:val="clear" w:color="auto" w:fill="FBE6D6" w:themeFill="accent2" w:themeFillTint="32"/>
          </w:tcPr>
          <w:p w14:paraId="192EE73B">
            <w:pPr>
              <w:rPr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Antibodies</w:t>
            </w:r>
          </w:p>
        </w:tc>
      </w:tr>
      <w:tr w14:paraId="51908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3964" w:type="dxa"/>
          </w:tcPr>
          <w:p w14:paraId="66B75C77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FITC anti-mouse CD41 (Clone MWReg30) </w:t>
            </w:r>
          </w:p>
        </w:tc>
        <w:tc>
          <w:tcPr>
            <w:tcW w:w="1418" w:type="dxa"/>
          </w:tcPr>
          <w:p w14:paraId="031596F2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BD Bioscience </w:t>
            </w:r>
          </w:p>
        </w:tc>
        <w:tc>
          <w:tcPr>
            <w:tcW w:w="2835" w:type="dxa"/>
          </w:tcPr>
          <w:p w14:paraId="691400A5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553848; </w:t>
            </w:r>
          </w:p>
          <w:p w14:paraId="3F699BF3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AB_395085</w:t>
            </w:r>
          </w:p>
        </w:tc>
      </w:tr>
      <w:tr w14:paraId="61877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3964" w:type="dxa"/>
          </w:tcPr>
          <w:p w14:paraId="0BDFE56A"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FITC anti-mouse CD41 Antibody</w:t>
            </w:r>
          </w:p>
        </w:tc>
        <w:tc>
          <w:tcPr>
            <w:tcW w:w="1418" w:type="dxa"/>
          </w:tcPr>
          <w:p w14:paraId="3453B316">
            <w:pPr>
              <w:widowControl/>
              <w:jc w:val="left"/>
              <w:rPr>
                <w:rFonts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</w:tcPr>
          <w:p w14:paraId="4396C09C">
            <w:pPr>
              <w:widowControl/>
              <w:shd w:val="clear" w:fill="FFFFFF"/>
              <w:spacing w:before="60" w:after="120"/>
              <w:jc w:val="lef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133904</w:t>
            </w:r>
            <w:r>
              <w:rPr>
                <w:rFonts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; </w:t>
            </w:r>
          </w:p>
          <w:p w14:paraId="499F76FC">
            <w:pPr>
              <w:widowControl/>
              <w:shd w:val="clear" w:fill="FFFFFF"/>
              <w:spacing w:before="60" w:after="120"/>
              <w:jc w:val="left"/>
              <w:rPr>
                <w:rFonts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AB_2129746</w:t>
            </w:r>
          </w:p>
        </w:tc>
      </w:tr>
      <w:tr w14:paraId="03E0A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</w:tcPr>
          <w:p w14:paraId="300752F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APC anti-mouse CD41 (Clone MWReg30) </w:t>
            </w:r>
          </w:p>
        </w:tc>
        <w:tc>
          <w:tcPr>
            <w:tcW w:w="1418" w:type="dxa"/>
          </w:tcPr>
          <w:p w14:paraId="2407849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Biolegend </w:t>
            </w:r>
          </w:p>
          <w:p w14:paraId="4F772033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</w:tcPr>
          <w:p w14:paraId="281B21F7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133914; </w:t>
            </w:r>
          </w:p>
          <w:p w14:paraId="33F2C79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AB_11125581</w:t>
            </w:r>
          </w:p>
        </w:tc>
      </w:tr>
      <w:tr w14:paraId="35313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</w:tcPr>
          <w:p w14:paraId="11AC3813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 anti-mouse CD41 Antibody</w:t>
            </w:r>
          </w:p>
        </w:tc>
        <w:tc>
          <w:tcPr>
            <w:tcW w:w="1418" w:type="dxa"/>
          </w:tcPr>
          <w:p w14:paraId="5971304E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</w:tcPr>
          <w:p w14:paraId="198AF1B7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133906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; </w:t>
            </w:r>
          </w:p>
          <w:p w14:paraId="263C4E7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2129745</w:t>
            </w:r>
          </w:p>
        </w:tc>
      </w:tr>
      <w:tr w14:paraId="52791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</w:tcPr>
          <w:p w14:paraId="5C374D2B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Alexa Fluor® 700 anti-mouse CD41 Antibody</w:t>
            </w:r>
          </w:p>
        </w:tc>
        <w:tc>
          <w:tcPr>
            <w:tcW w:w="1418" w:type="dxa"/>
          </w:tcPr>
          <w:p w14:paraId="50984D27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Biolegend </w:t>
            </w:r>
          </w:p>
        </w:tc>
        <w:tc>
          <w:tcPr>
            <w:tcW w:w="2835" w:type="dxa"/>
          </w:tcPr>
          <w:p w14:paraId="7DD4A589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133926;</w:t>
            </w:r>
          </w:p>
          <w:p w14:paraId="61DF66D6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AB_2572130</w:t>
            </w:r>
          </w:p>
        </w:tc>
      </w:tr>
      <w:tr w14:paraId="0115C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</w:tcPr>
          <w:p w14:paraId="0AD423B6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FITC Mouse Anti-Human CD41a</w:t>
            </w:r>
          </w:p>
        </w:tc>
        <w:tc>
          <w:tcPr>
            <w:tcW w:w="1418" w:type="dxa"/>
          </w:tcPr>
          <w:p w14:paraId="076AB94A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BD Bioscience </w:t>
            </w:r>
          </w:p>
        </w:tc>
        <w:tc>
          <w:tcPr>
            <w:tcW w:w="2835" w:type="dxa"/>
          </w:tcPr>
          <w:p w14:paraId="2452F9E4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555466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1E496789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AB_395858</w:t>
            </w:r>
          </w:p>
        </w:tc>
      </w:tr>
      <w:tr w14:paraId="5C299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vAlign w:val="center"/>
          </w:tcPr>
          <w:p w14:paraId="3B5D399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yellow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Antibod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y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for </w:t>
            </w:r>
            <w:r>
              <w:rPr>
                <w:rFonts w:hint="default" w:ascii="Times New Roman" w:hAnsi="Times New Roman" w:cs="Times New Roman" w:eastAsiaTheme="minorEastAsia"/>
                <w:i/>
                <w:iCs/>
                <w:color w:val="000000" w:themeColor="text1"/>
                <w:kern w:val="2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In Vivo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Mouse Platelet Labeling（CD42C）</w:t>
            </w:r>
          </w:p>
        </w:tc>
        <w:tc>
          <w:tcPr>
            <w:tcW w:w="1418" w:type="dxa"/>
            <w:vAlign w:val="center"/>
          </w:tcPr>
          <w:p w14:paraId="027762E0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Emfret</w:t>
            </w:r>
          </w:p>
        </w:tc>
        <w:tc>
          <w:tcPr>
            <w:tcW w:w="2835" w:type="dxa"/>
            <w:vAlign w:val="center"/>
          </w:tcPr>
          <w:p w14:paraId="3918E47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yellow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X488</w:t>
            </w:r>
          </w:p>
          <w:p w14:paraId="0B01B92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yellow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AB_2890921</w:t>
            </w:r>
          </w:p>
        </w:tc>
      </w:tr>
      <w:tr w14:paraId="0162E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vAlign w:val="center"/>
          </w:tcPr>
          <w:p w14:paraId="3A45175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Antibod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y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for </w:t>
            </w:r>
            <w:r>
              <w:rPr>
                <w:rFonts w:hint="default" w:ascii="Times New Roman" w:hAnsi="Times New Roman" w:cs="Times New Roman" w:eastAsiaTheme="minorEastAsia"/>
                <w:i/>
                <w:iCs/>
                <w:color w:val="000000" w:themeColor="text1"/>
                <w:kern w:val="2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In Vivo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Mouse Platelet Labeling（CD42C）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54201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Emfret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5C5CB0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649</w:t>
            </w:r>
          </w:p>
          <w:p w14:paraId="2F509E0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yellow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AB_28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1336</w:t>
            </w:r>
          </w:p>
        </w:tc>
      </w:tr>
      <w:tr w14:paraId="00CB7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vAlign w:val="center"/>
          </w:tcPr>
          <w:p w14:paraId="6F9D7DB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APC Mouse Anti-Human CD42b</w:t>
            </w:r>
          </w:p>
        </w:tc>
        <w:tc>
          <w:tcPr>
            <w:tcW w:w="1418" w:type="dxa"/>
            <w:vAlign w:val="center"/>
          </w:tcPr>
          <w:p w14:paraId="07ED25EF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BD Bioscience </w:t>
            </w:r>
          </w:p>
        </w:tc>
        <w:tc>
          <w:tcPr>
            <w:tcW w:w="2835" w:type="dxa"/>
            <w:vAlign w:val="center"/>
          </w:tcPr>
          <w:p w14:paraId="2FD501E4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551061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19B646E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AB_398486</w:t>
            </w:r>
          </w:p>
        </w:tc>
      </w:tr>
      <w:tr w14:paraId="5B1B9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vAlign w:val="center"/>
          </w:tcPr>
          <w:p w14:paraId="1985D02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PE/Cyanine7 anti-mouse CD3 Antibody</w:t>
            </w:r>
          </w:p>
        </w:tc>
        <w:tc>
          <w:tcPr>
            <w:tcW w:w="1418" w:type="dxa"/>
          </w:tcPr>
          <w:p w14:paraId="3D8FE38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Biolegend </w:t>
            </w:r>
          </w:p>
        </w:tc>
        <w:tc>
          <w:tcPr>
            <w:tcW w:w="2835" w:type="dxa"/>
            <w:vAlign w:val="center"/>
          </w:tcPr>
          <w:p w14:paraId="54198D13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100220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7345E2D2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AB_1732057</w:t>
            </w:r>
          </w:p>
        </w:tc>
      </w:tr>
      <w:tr w14:paraId="765D5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vAlign w:val="center"/>
          </w:tcPr>
          <w:p w14:paraId="59F3B57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Alexa Fluor® 647 anti-mouse CD3 Antibody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3867183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Biolegend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71A513">
            <w:pPr>
              <w:widowControl/>
              <w:shd w:val="clear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100209;</w:t>
            </w:r>
          </w:p>
          <w:p w14:paraId="6C56F7AE">
            <w:pPr>
              <w:widowControl/>
              <w:shd w:val="clear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89323</w:t>
            </w:r>
          </w:p>
        </w:tc>
      </w:tr>
      <w:tr w14:paraId="7E4D8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vAlign w:val="center"/>
          </w:tcPr>
          <w:p w14:paraId="2801920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APC/Cyanine7 anti-mouse CD3 Antibody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7C0853E5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Biolegend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0746F2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100222;</w:t>
            </w:r>
          </w:p>
          <w:p w14:paraId="5818FA6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2242784</w:t>
            </w:r>
          </w:p>
        </w:tc>
      </w:tr>
      <w:tr w14:paraId="5E12B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vAlign w:val="center"/>
          </w:tcPr>
          <w:p w14:paraId="6DA68D6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FITC anti-mouse CD3 Antibody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7CAD81E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Biolegend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CD0541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100204;</w:t>
            </w:r>
          </w:p>
          <w:p w14:paraId="020E465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312661</w:t>
            </w:r>
          </w:p>
        </w:tc>
      </w:tr>
      <w:tr w14:paraId="6EE2F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vAlign w:val="center"/>
          </w:tcPr>
          <w:p w14:paraId="4CCCB224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PE/Cyanine7 anti-mouse/human CD45R/B220 Antibody</w:t>
            </w:r>
          </w:p>
        </w:tc>
        <w:tc>
          <w:tcPr>
            <w:tcW w:w="1418" w:type="dxa"/>
          </w:tcPr>
          <w:p w14:paraId="63DADE0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Biolegend </w:t>
            </w:r>
          </w:p>
        </w:tc>
        <w:tc>
          <w:tcPr>
            <w:tcW w:w="2835" w:type="dxa"/>
            <w:vAlign w:val="center"/>
          </w:tcPr>
          <w:p w14:paraId="5E8583C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103222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431DF23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AB_313005</w:t>
            </w:r>
          </w:p>
        </w:tc>
      </w:tr>
      <w:tr w14:paraId="17EA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vAlign w:val="center"/>
          </w:tcPr>
          <w:p w14:paraId="1389070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PE/Cyanine7 anti-mouse/human CD11b Antibody</w:t>
            </w:r>
          </w:p>
        </w:tc>
        <w:tc>
          <w:tcPr>
            <w:tcW w:w="1418" w:type="dxa"/>
          </w:tcPr>
          <w:p w14:paraId="0AE0454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Biolegend </w:t>
            </w:r>
          </w:p>
        </w:tc>
        <w:tc>
          <w:tcPr>
            <w:tcW w:w="2835" w:type="dxa"/>
            <w:vAlign w:val="center"/>
          </w:tcPr>
          <w:p w14:paraId="58CEA08A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101216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09F1AF9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AB_312799</w:t>
            </w:r>
          </w:p>
        </w:tc>
      </w:tr>
      <w:tr w14:paraId="37884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vAlign w:val="center"/>
          </w:tcPr>
          <w:p w14:paraId="2D69753A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PE/Cyanine7 anti-mouse TER-119/Erythroid Cells Antibody</w:t>
            </w:r>
          </w:p>
        </w:tc>
        <w:tc>
          <w:tcPr>
            <w:tcW w:w="1418" w:type="dxa"/>
          </w:tcPr>
          <w:p w14:paraId="41C30025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Biolegend </w:t>
            </w:r>
          </w:p>
        </w:tc>
        <w:tc>
          <w:tcPr>
            <w:tcW w:w="2835" w:type="dxa"/>
            <w:vAlign w:val="center"/>
          </w:tcPr>
          <w:p w14:paraId="70E96F9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116222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466BFAF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AB_2281408</w:t>
            </w:r>
          </w:p>
        </w:tc>
      </w:tr>
      <w:tr w14:paraId="45C9E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vAlign w:val="center"/>
          </w:tcPr>
          <w:p w14:paraId="0357B1F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APC/Cyanine7 anti-mouse I-A/I-E Antibody</w:t>
            </w:r>
          </w:p>
        </w:tc>
        <w:tc>
          <w:tcPr>
            <w:tcW w:w="1418" w:type="dxa"/>
            <w:vAlign w:val="center"/>
          </w:tcPr>
          <w:p w14:paraId="56540F6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vAlign w:val="center"/>
          </w:tcPr>
          <w:p w14:paraId="71DFA9BF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107628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2C80019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AB_2069377</w:t>
            </w:r>
          </w:p>
        </w:tc>
      </w:tr>
      <w:tr w14:paraId="39F2B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shd w:val="clear" w:color="auto" w:fill="auto"/>
            <w:vAlign w:val="center"/>
          </w:tcPr>
          <w:p w14:paraId="6E66F6A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APC anti-mouse I-A/I-E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122C53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3B787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107614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3F8A5BD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AB_313329</w:t>
            </w:r>
          </w:p>
        </w:tc>
      </w:tr>
      <w:tr w14:paraId="24476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shd w:val="clear" w:color="auto" w:fill="auto"/>
            <w:vAlign w:val="center"/>
          </w:tcPr>
          <w:p w14:paraId="3DDCDE0F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In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Vivo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MAb anti-mouse MHC Class II (I-A/I-E)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D170D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BioXCell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3D18C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M5/114;</w:t>
            </w:r>
          </w:p>
          <w:p w14:paraId="33587FE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3265910</w:t>
            </w:r>
          </w:p>
        </w:tc>
      </w:tr>
      <w:tr w14:paraId="7C269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vAlign w:val="center"/>
          </w:tcPr>
          <w:p w14:paraId="2E927BF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BD Pharmingen™ PE Rat Anti-Mouse Ly-6G</w:t>
            </w:r>
          </w:p>
        </w:tc>
        <w:tc>
          <w:tcPr>
            <w:tcW w:w="1418" w:type="dxa"/>
            <w:vAlign w:val="center"/>
          </w:tcPr>
          <w:p w14:paraId="44AB65D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BD bioscience</w:t>
            </w:r>
          </w:p>
        </w:tc>
        <w:tc>
          <w:tcPr>
            <w:tcW w:w="2835" w:type="dxa"/>
            <w:vAlign w:val="center"/>
          </w:tcPr>
          <w:p w14:paraId="7E6F97AA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551461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1A1A406F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AB_394208</w:t>
            </w:r>
          </w:p>
        </w:tc>
      </w:tr>
      <w:tr w14:paraId="43B23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shd w:val="clear" w:color="auto" w:fill="auto"/>
            <w:vAlign w:val="center"/>
          </w:tcPr>
          <w:p w14:paraId="6F6A69D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APC anti-mouse Ly-6G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6BA6B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E872B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127614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1C855FA0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AB_2227348</w:t>
            </w:r>
          </w:p>
        </w:tc>
      </w:tr>
      <w:tr w14:paraId="49CD0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3964" w:type="dxa"/>
            <w:shd w:val="clear" w:color="auto" w:fill="auto"/>
            <w:vAlign w:val="center"/>
          </w:tcPr>
          <w:p w14:paraId="50A1AE2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Brilliant Violet 510™ anti-mouse Ly-6G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4C6974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D11C25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127633;</w:t>
            </w:r>
          </w:p>
          <w:p w14:paraId="7531DFB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562937</w:t>
            </w:r>
          </w:p>
        </w:tc>
      </w:tr>
      <w:tr w14:paraId="62508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shd w:val="clear" w:color="auto" w:fill="auto"/>
            <w:vAlign w:val="center"/>
          </w:tcPr>
          <w:p w14:paraId="0CB6DB6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PE/Cyanine5 anti-mouse F4/80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65C842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FA962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123112;</w:t>
            </w:r>
          </w:p>
          <w:p w14:paraId="73AA1EC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893482</w:t>
            </w:r>
          </w:p>
        </w:tc>
      </w:tr>
      <w:tr w14:paraId="38717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vAlign w:val="center"/>
          </w:tcPr>
          <w:p w14:paraId="26EB0B04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 anti-mouse F4/80 Antibody</w:t>
            </w:r>
          </w:p>
        </w:tc>
        <w:tc>
          <w:tcPr>
            <w:tcW w:w="1418" w:type="dxa"/>
            <w:vAlign w:val="center"/>
          </w:tcPr>
          <w:p w14:paraId="221252D3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vAlign w:val="center"/>
          </w:tcPr>
          <w:p w14:paraId="34002F3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123110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0620EEB0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AB_893486</w:t>
            </w:r>
          </w:p>
        </w:tc>
      </w:tr>
      <w:tr w14:paraId="214AB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vAlign w:val="center"/>
          </w:tcPr>
          <w:p w14:paraId="745E73F2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APC anti-mouse F4/80 Antibody</w:t>
            </w:r>
          </w:p>
        </w:tc>
        <w:tc>
          <w:tcPr>
            <w:tcW w:w="1418" w:type="dxa"/>
            <w:vAlign w:val="center"/>
          </w:tcPr>
          <w:p w14:paraId="669313B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vAlign w:val="center"/>
          </w:tcPr>
          <w:p w14:paraId="3368E0D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123116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5986BE9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AB_893481</w:t>
            </w:r>
          </w:p>
        </w:tc>
      </w:tr>
      <w:tr w14:paraId="092EA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vAlign w:val="center"/>
          </w:tcPr>
          <w:p w14:paraId="4B72D40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PE/Cyanine7 anti-human CD163 Antibody</w:t>
            </w:r>
          </w:p>
        </w:tc>
        <w:tc>
          <w:tcPr>
            <w:tcW w:w="1418" w:type="dxa"/>
            <w:vAlign w:val="center"/>
          </w:tcPr>
          <w:p w14:paraId="0F3D04C3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vAlign w:val="center"/>
          </w:tcPr>
          <w:p w14:paraId="32EC55C0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326514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2FA28755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AB_2565245</w:t>
            </w:r>
          </w:p>
        </w:tc>
      </w:tr>
      <w:tr w14:paraId="42EDB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vAlign w:val="center"/>
          </w:tcPr>
          <w:p w14:paraId="5DC5389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APC/Cyanine7 anti-human HLA-DR Antibody</w:t>
            </w:r>
          </w:p>
        </w:tc>
        <w:tc>
          <w:tcPr>
            <w:tcW w:w="1418" w:type="dxa"/>
            <w:vAlign w:val="center"/>
          </w:tcPr>
          <w:p w14:paraId="7218E8C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Biolegend</w:t>
            </w:r>
          </w:p>
        </w:tc>
        <w:tc>
          <w:tcPr>
            <w:tcW w:w="2835" w:type="dxa"/>
            <w:vAlign w:val="center"/>
          </w:tcPr>
          <w:p w14:paraId="40A7C22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Cat# 307618;</w:t>
            </w:r>
          </w:p>
          <w:p w14:paraId="7ED16A7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RRID: AB_493586</w:t>
            </w:r>
          </w:p>
        </w:tc>
      </w:tr>
      <w:tr w14:paraId="7D710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vAlign w:val="center"/>
          </w:tcPr>
          <w:p w14:paraId="343C87C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PE anti-human CD177 Antibody</w:t>
            </w:r>
          </w:p>
        </w:tc>
        <w:tc>
          <w:tcPr>
            <w:tcW w:w="1418" w:type="dxa"/>
            <w:vAlign w:val="center"/>
          </w:tcPr>
          <w:p w14:paraId="1131256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Biolegend</w:t>
            </w:r>
          </w:p>
        </w:tc>
        <w:tc>
          <w:tcPr>
            <w:tcW w:w="2835" w:type="dxa"/>
            <w:vAlign w:val="center"/>
          </w:tcPr>
          <w:p w14:paraId="2574809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Cat# 315806;</w:t>
            </w:r>
          </w:p>
          <w:p w14:paraId="0174EB3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RRID: AB_2564281</w:t>
            </w:r>
          </w:p>
        </w:tc>
      </w:tr>
      <w:tr w14:paraId="59209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vAlign w:val="center"/>
          </w:tcPr>
          <w:p w14:paraId="5201733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FITC anti-mouse CD4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89AE0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EBA233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100406;</w:t>
            </w:r>
          </w:p>
          <w:p w14:paraId="17BE580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312691</w:t>
            </w:r>
          </w:p>
        </w:tc>
      </w:tr>
      <w:tr w14:paraId="1FD54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vAlign w:val="center"/>
          </w:tcPr>
          <w:p w14:paraId="75252B54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APC anti-mouse CD4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D84247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A6394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100412;</w:t>
            </w:r>
          </w:p>
          <w:p w14:paraId="340C63C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12697</w:t>
            </w:r>
          </w:p>
        </w:tc>
      </w:tr>
      <w:tr w14:paraId="2C899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vAlign w:val="center"/>
          </w:tcPr>
          <w:p w14:paraId="226BA90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PE/Cyanine7 anti-mouse CD19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47977F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4441F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152418;</w:t>
            </w:r>
          </w:p>
          <w:p w14:paraId="0865AC8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2927870</w:t>
            </w:r>
          </w:p>
        </w:tc>
      </w:tr>
      <w:tr w14:paraId="08CE1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vAlign w:val="center"/>
          </w:tcPr>
          <w:p w14:paraId="731347F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APC/Cyanine7 anti-mouse CD25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DDCF1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78A7F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01918;</w:t>
            </w:r>
          </w:p>
          <w:p w14:paraId="6505F06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2650982</w:t>
            </w:r>
          </w:p>
        </w:tc>
      </w:tr>
      <w:tr w14:paraId="732D1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vAlign w:val="center"/>
          </w:tcPr>
          <w:p w14:paraId="6EAADF0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 anti-mouse CD25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FA8B8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05ABD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102008;</w:t>
            </w:r>
          </w:p>
          <w:p w14:paraId="48CC0E4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312857</w:t>
            </w:r>
          </w:p>
        </w:tc>
      </w:tr>
      <w:tr w14:paraId="2A7ED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vAlign w:val="center"/>
          </w:tcPr>
          <w:p w14:paraId="07DFB2A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PE/Cyanine7 anti-mouse CD8a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EA7661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EE1771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100722;</w:t>
            </w:r>
          </w:p>
          <w:p w14:paraId="0076909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312761</w:t>
            </w:r>
          </w:p>
        </w:tc>
      </w:tr>
      <w:tr w14:paraId="25358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shd w:val="clear" w:color="auto" w:fill="auto"/>
            <w:vAlign w:val="center"/>
          </w:tcPr>
          <w:p w14:paraId="4EC1B19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PE/Cyanine5 anti-mouse CD8a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403E4F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50F903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100710;</w:t>
            </w:r>
          </w:p>
          <w:p w14:paraId="282A0AF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312749</w:t>
            </w:r>
          </w:p>
        </w:tc>
      </w:tr>
      <w:tr w14:paraId="429EA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vAlign w:val="center"/>
          </w:tcPr>
          <w:p w14:paraId="0D9FFF2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 anti-mouse CD122 (IL-2Rb)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8C1937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656871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05906;</w:t>
            </w:r>
          </w:p>
          <w:p w14:paraId="352F193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2125736</w:t>
            </w:r>
          </w:p>
        </w:tc>
      </w:tr>
      <w:tr w14:paraId="328B3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vAlign w:val="center"/>
          </w:tcPr>
          <w:p w14:paraId="41B49D3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PE/Cyanine7 anti-mouse IL-4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E473B4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7B4860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504118;</w:t>
            </w:r>
          </w:p>
          <w:p w14:paraId="133D970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0898116</w:t>
            </w:r>
          </w:p>
        </w:tc>
      </w:tr>
      <w:tr w14:paraId="4E42D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vAlign w:val="center"/>
          </w:tcPr>
          <w:p w14:paraId="1A6D13F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FOXP3 Monoclonal Antibody (FJK-16s), PE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117D3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eBioscience™ 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33FCE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12-5773-82;</w:t>
            </w:r>
          </w:p>
          <w:p w14:paraId="47AD824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465936</w:t>
            </w:r>
          </w:p>
        </w:tc>
      </w:tr>
      <w:tr w14:paraId="42197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vAlign w:val="center"/>
          </w:tcPr>
          <w:p w14:paraId="2EAADCF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Alexa Fluor 647 anti-mouse F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xp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3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9BE9B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72A98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126408;</w:t>
            </w:r>
          </w:p>
          <w:p w14:paraId="4B2049D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1089115</w:t>
            </w:r>
          </w:p>
        </w:tc>
      </w:tr>
      <w:tr w14:paraId="50556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vAlign w:val="center"/>
          </w:tcPr>
          <w:p w14:paraId="5F7DC0B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TGF-beta 1, 2, 3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358B6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R&amp;D Systems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41E5E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MAB1835-100;</w:t>
            </w:r>
          </w:p>
          <w:p w14:paraId="0A42B1F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357931</w:t>
            </w:r>
          </w:p>
        </w:tc>
      </w:tr>
      <w:tr w14:paraId="40F84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vAlign w:val="center"/>
          </w:tcPr>
          <w:p w14:paraId="6067860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 anti-mouse IFN-r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4BCE1A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E85FB7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163504;</w:t>
            </w:r>
          </w:p>
          <w:p w14:paraId="7A30CAD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890730</w:t>
            </w:r>
          </w:p>
        </w:tc>
      </w:tr>
      <w:tr w14:paraId="04E66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vAlign w:val="center"/>
          </w:tcPr>
          <w:p w14:paraId="2E8103B7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Goat anti-Rabbit IgG (H+L) Cross-Adsorbed Secondary Antibody, Alexa Fluor™ 594</w:t>
            </w:r>
          </w:p>
        </w:tc>
        <w:tc>
          <w:tcPr>
            <w:tcW w:w="1418" w:type="dxa"/>
            <w:vAlign w:val="center"/>
          </w:tcPr>
          <w:p w14:paraId="65825C8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Invitrogen</w:t>
            </w:r>
          </w:p>
        </w:tc>
        <w:tc>
          <w:tcPr>
            <w:tcW w:w="2835" w:type="dxa"/>
            <w:vAlign w:val="center"/>
          </w:tcPr>
          <w:p w14:paraId="688BA4D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A-11012;</w:t>
            </w:r>
          </w:p>
          <w:p w14:paraId="5E01CF8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41359</w:t>
            </w:r>
          </w:p>
        </w:tc>
      </w:tr>
      <w:tr w14:paraId="0C20B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vAlign w:val="center"/>
          </w:tcPr>
          <w:p w14:paraId="0F95644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Rat IgG2a kappa Isotype Control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65CCC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Invitrogen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A71D6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12-4321-83;</w:t>
            </w:r>
          </w:p>
          <w:p w14:paraId="2CFC46D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470053</w:t>
            </w:r>
          </w:p>
        </w:tc>
      </w:tr>
      <w:tr w14:paraId="30A28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vAlign w:val="center"/>
          </w:tcPr>
          <w:p w14:paraId="49343B6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Rat IgG2b kappa Isotype Control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9F872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eBioscience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BB23B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14-4031-85;</w:t>
            </w:r>
          </w:p>
          <w:p w14:paraId="7D1422A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470100</w:t>
            </w:r>
          </w:p>
        </w:tc>
      </w:tr>
      <w:tr w14:paraId="4A065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vAlign w:val="center"/>
          </w:tcPr>
          <w:p w14:paraId="73D532C2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APC Rat IgG2a, κ Isotype Ctrl Antibody</w:t>
            </w:r>
          </w:p>
        </w:tc>
        <w:tc>
          <w:tcPr>
            <w:tcW w:w="1418" w:type="dxa"/>
            <w:vAlign w:val="center"/>
          </w:tcPr>
          <w:p w14:paraId="55092DF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iolegend</w:t>
            </w:r>
          </w:p>
        </w:tc>
        <w:tc>
          <w:tcPr>
            <w:tcW w:w="2835" w:type="dxa"/>
            <w:vAlign w:val="center"/>
          </w:tcPr>
          <w:p w14:paraId="5C364A4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400512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29CD74C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AB_2814702</w:t>
            </w:r>
          </w:p>
        </w:tc>
      </w:tr>
      <w:tr w14:paraId="2011D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vAlign w:val="center"/>
          </w:tcPr>
          <w:p w14:paraId="10ED05AA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APC/Cyanine7 Rat IgG1, κ Isotype Ctrl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B038A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90A47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400422;</w:t>
            </w:r>
          </w:p>
          <w:p w14:paraId="7192692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830905</w:t>
            </w:r>
          </w:p>
        </w:tc>
      </w:tr>
      <w:tr w14:paraId="70C0E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vAlign w:val="center"/>
          </w:tcPr>
          <w:p w14:paraId="713046A1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APC/Cyanine7 Rat IgG2b, κ Isotype Ctrl Antibody</w:t>
            </w:r>
          </w:p>
        </w:tc>
        <w:tc>
          <w:tcPr>
            <w:tcW w:w="1418" w:type="dxa"/>
            <w:vAlign w:val="center"/>
          </w:tcPr>
          <w:p w14:paraId="641287C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vAlign w:val="center"/>
          </w:tcPr>
          <w:p w14:paraId="35F079F2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400624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658314C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AB_326566</w:t>
            </w:r>
          </w:p>
        </w:tc>
      </w:tr>
      <w:tr w14:paraId="1A51F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vAlign w:val="center"/>
          </w:tcPr>
          <w:p w14:paraId="3302EE75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 Rat IgG2a, κ Isotype Ctrl Antibody</w:t>
            </w:r>
          </w:p>
        </w:tc>
        <w:tc>
          <w:tcPr>
            <w:tcW w:w="1418" w:type="dxa"/>
            <w:vAlign w:val="center"/>
          </w:tcPr>
          <w:p w14:paraId="1282D6D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iolegend</w:t>
            </w:r>
          </w:p>
        </w:tc>
        <w:tc>
          <w:tcPr>
            <w:tcW w:w="2835" w:type="dxa"/>
            <w:vAlign w:val="center"/>
          </w:tcPr>
          <w:p w14:paraId="4078FC3A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400508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7C711C27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AB_326530</w:t>
            </w:r>
          </w:p>
        </w:tc>
      </w:tr>
      <w:tr w14:paraId="29543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vAlign w:val="center"/>
          </w:tcPr>
          <w:p w14:paraId="042D4B57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 Rat IgG2b, κ Isotype Ctrl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A428A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9447A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400636;</w:t>
            </w:r>
          </w:p>
          <w:p w14:paraId="0A4D1DA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893669</w:t>
            </w:r>
          </w:p>
        </w:tc>
      </w:tr>
      <w:tr w14:paraId="70351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vAlign w:val="center"/>
          </w:tcPr>
          <w:p w14:paraId="54A1832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APC/Cyanine7 Mouse IgG2a, κ Isotype Ctrl Antibody</w:t>
            </w:r>
          </w:p>
        </w:tc>
        <w:tc>
          <w:tcPr>
            <w:tcW w:w="1418" w:type="dxa"/>
            <w:vAlign w:val="center"/>
          </w:tcPr>
          <w:p w14:paraId="5331A45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iolegend</w:t>
            </w:r>
          </w:p>
        </w:tc>
        <w:tc>
          <w:tcPr>
            <w:tcW w:w="2835" w:type="dxa"/>
            <w:vAlign w:val="center"/>
          </w:tcPr>
          <w:p w14:paraId="327AA5C0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400230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2635922A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AB_326477</w:t>
            </w:r>
          </w:p>
        </w:tc>
      </w:tr>
      <w:tr w14:paraId="7E4DF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vAlign w:val="center"/>
          </w:tcPr>
          <w:p w14:paraId="41123E23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PE/Cyanine7 Mouse IgG1, κ Isotype Ctrl Antibody</w:t>
            </w:r>
          </w:p>
        </w:tc>
        <w:tc>
          <w:tcPr>
            <w:tcW w:w="1418" w:type="dxa"/>
            <w:vAlign w:val="center"/>
          </w:tcPr>
          <w:p w14:paraId="73E69AF4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iolegend</w:t>
            </w:r>
          </w:p>
        </w:tc>
        <w:tc>
          <w:tcPr>
            <w:tcW w:w="2835" w:type="dxa"/>
            <w:vAlign w:val="center"/>
          </w:tcPr>
          <w:p w14:paraId="70D3857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400126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7DB405C3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AB_326448</w:t>
            </w:r>
          </w:p>
        </w:tc>
      </w:tr>
      <w:tr w14:paraId="06023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vAlign w:val="center"/>
          </w:tcPr>
          <w:p w14:paraId="1CA4981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PE/Cyanine7 Mouse IgG2b, κ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Isotype Ctrl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9E6EE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A0EE73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653820;</w:t>
            </w:r>
          </w:p>
          <w:p w14:paraId="50C3B87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3083421</w:t>
            </w:r>
          </w:p>
        </w:tc>
      </w:tr>
      <w:tr w14:paraId="703C6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vAlign w:val="center"/>
          </w:tcPr>
          <w:p w14:paraId="12D07F30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PE/Cyanine7 Rat IgG1, κ Isotype Ctrl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43275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3CD240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400416;</w:t>
            </w:r>
          </w:p>
          <w:p w14:paraId="62FA43E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326522</w:t>
            </w:r>
          </w:p>
        </w:tc>
      </w:tr>
      <w:tr w14:paraId="704C2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vAlign w:val="center"/>
          </w:tcPr>
          <w:p w14:paraId="108E34A5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 Mouse IgG1, κ Isotype Ctrl (FC) Antibody</w:t>
            </w:r>
          </w:p>
        </w:tc>
        <w:tc>
          <w:tcPr>
            <w:tcW w:w="1418" w:type="dxa"/>
            <w:vAlign w:val="center"/>
          </w:tcPr>
          <w:p w14:paraId="3A866533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iolegend</w:t>
            </w:r>
          </w:p>
        </w:tc>
        <w:tc>
          <w:tcPr>
            <w:tcW w:w="2835" w:type="dxa"/>
            <w:vAlign w:val="center"/>
          </w:tcPr>
          <w:p w14:paraId="50E5256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400114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01D8AC0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AB_326435</w:t>
            </w:r>
          </w:p>
        </w:tc>
      </w:tr>
      <w:tr w14:paraId="20E86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vAlign w:val="center"/>
          </w:tcPr>
          <w:p w14:paraId="2F068B87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Brilliant Violet 510™ Rat IgG2a, κ Isotype Ctrl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7D610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BB812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400547;</w:t>
            </w:r>
          </w:p>
          <w:p w14:paraId="1DCEA25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3097655</w:t>
            </w:r>
          </w:p>
        </w:tc>
      </w:tr>
      <w:tr w14:paraId="08101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vAlign w:val="center"/>
          </w:tcPr>
          <w:p w14:paraId="3FDA1E5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PE/Cyanine5 Rat IgG2a, κ Isotype Ctrl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A816B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75736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400510;</w:t>
            </w:r>
          </w:p>
          <w:p w14:paraId="2933CA2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326531</w:t>
            </w:r>
          </w:p>
        </w:tc>
      </w:tr>
      <w:tr w14:paraId="2162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vAlign w:val="center"/>
          </w:tcPr>
          <w:p w14:paraId="38A0EF3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 anti-mouse/rat CD62P (P-selectin)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1055F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2CCBCF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148306;</w:t>
            </w:r>
          </w:p>
          <w:p w14:paraId="60D78F2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2565275</w:t>
            </w:r>
          </w:p>
        </w:tc>
      </w:tr>
      <w:tr w14:paraId="41362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278234E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yellow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Anti-mouse CD16/32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854D62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81637A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yellow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156604;</w:t>
            </w:r>
          </w:p>
          <w:p w14:paraId="004E26FF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yellow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Helvetica" w:cs="Times New Roman"/>
                <w:color w:val="000000" w:themeColor="text1"/>
                <w:sz w:val="18"/>
                <w:szCs w:val="1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AB_2783138</w:t>
            </w:r>
          </w:p>
        </w:tc>
      </w:tr>
      <w:tr w14:paraId="70C4D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3A02A07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TruStain FcX™ (anti-mouse CD16/32) Antibody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0FE93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54CA50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yellow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101320;</w:t>
            </w:r>
          </w:p>
          <w:p w14:paraId="453A505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yellow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Helvetica" w:cs="Times New Roman"/>
                <w:color w:val="000000" w:themeColor="text1"/>
                <w:sz w:val="18"/>
                <w:szCs w:val="1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AB_2783138</w:t>
            </w:r>
          </w:p>
        </w:tc>
      </w:tr>
      <w:tr w14:paraId="1FD35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5FEAD05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CD28 Monoclonal Antibody (37.51), Functional Grade, eBioscience™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5B8DF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Invitrogen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6E52A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16-0281-86;</w:t>
            </w:r>
          </w:p>
          <w:p w14:paraId="35F22CE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468923</w:t>
            </w:r>
          </w:p>
        </w:tc>
      </w:tr>
      <w:tr w14:paraId="20BA9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216DEF0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CD3 Monoclonal Antibody (OKT3), Functional Grade, eBioscience™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FF2D0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Invitrogen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212257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16-0031-86;</w:t>
            </w:r>
          </w:p>
          <w:p w14:paraId="709C503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RRID: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AB_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468849</w:t>
            </w:r>
          </w:p>
        </w:tc>
      </w:tr>
      <w:tr w14:paraId="5AAEF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8217" w:type="dxa"/>
            <w:gridSpan w:val="3"/>
            <w:shd w:val="clear" w:color="auto" w:fill="FBE6D6" w:themeFill="accent2" w:themeFillTint="32"/>
            <w:vAlign w:val="center"/>
          </w:tcPr>
          <w:p w14:paraId="337CED7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Biological samples</w:t>
            </w:r>
          </w:p>
        </w:tc>
      </w:tr>
      <w:tr w14:paraId="249F2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vAlign w:val="center"/>
          </w:tcPr>
          <w:p w14:paraId="06878CC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Bone Marrow, Spleen, Lung samples from mouse embryos and adult mice</w:t>
            </w:r>
          </w:p>
        </w:tc>
        <w:tc>
          <w:tcPr>
            <w:tcW w:w="1418" w:type="dxa"/>
            <w:vAlign w:val="center"/>
          </w:tcPr>
          <w:p w14:paraId="1930305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This paper</w:t>
            </w:r>
          </w:p>
          <w:p w14:paraId="68BA699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35" w:type="dxa"/>
            <w:vAlign w:val="center"/>
          </w:tcPr>
          <w:p w14:paraId="5271C1B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This paper</w:t>
            </w:r>
          </w:p>
          <w:p w14:paraId="7121469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243F5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0834A63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Bone Marrow samples from Human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D91E6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This paper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70963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This paper</w:t>
            </w:r>
          </w:p>
        </w:tc>
      </w:tr>
      <w:tr w14:paraId="36462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8217" w:type="dxa"/>
            <w:gridSpan w:val="3"/>
            <w:shd w:val="clear" w:color="auto" w:fill="FBE6D6" w:themeFill="accent2" w:themeFillTint="32"/>
            <w:vAlign w:val="center"/>
          </w:tcPr>
          <w:p w14:paraId="2CF7B77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Chemicals, peptides, and recombinant proteins</w:t>
            </w:r>
          </w:p>
        </w:tc>
      </w:tr>
      <w:tr w14:paraId="2CDB8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3D725E9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222222"/>
                <w:kern w:val="0"/>
                <w:sz w:val="18"/>
                <w:szCs w:val="18"/>
                <w:lang w:bidi="ar"/>
              </w:rPr>
              <w:t>Fetal Bovine Serum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A3468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222222"/>
                <w:kern w:val="0"/>
                <w:sz w:val="18"/>
                <w:szCs w:val="18"/>
                <w:lang w:bidi="ar"/>
              </w:rPr>
              <w:t>Gibco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D699E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222222"/>
                <w:kern w:val="0"/>
                <w:sz w:val="18"/>
                <w:szCs w:val="18"/>
                <w:lang w:bidi="ar"/>
              </w:rPr>
              <w:t>Cat# 16000044</w:t>
            </w:r>
          </w:p>
        </w:tc>
      </w:tr>
      <w:tr w14:paraId="35F3B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7D038B4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Bovine Serum Albumin (BSA)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03CCD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Solarbio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D6DD4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A8020</w:t>
            </w:r>
          </w:p>
        </w:tc>
      </w:tr>
      <w:tr w14:paraId="4899C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6318320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Normal saline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444BC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Solarbio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1CCAB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7647-14-5</w:t>
            </w:r>
          </w:p>
        </w:tc>
      </w:tr>
      <w:tr w14:paraId="280EC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4E788E4F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Hoechst 33342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F84BCA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Solarbio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8024C1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C0031</w:t>
            </w:r>
          </w:p>
        </w:tc>
      </w:tr>
      <w:tr w14:paraId="6757D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1AA6AD4A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Zombie Violet Fixable Viability Kit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19E29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BAEB24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42311</w:t>
            </w:r>
          </w:p>
        </w:tc>
      </w:tr>
      <w:tr w14:paraId="5044C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59BE717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7AAD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14C77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BD bioscience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35E2A7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559925</w:t>
            </w:r>
          </w:p>
        </w:tc>
      </w:tr>
      <w:tr w14:paraId="120D2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7BBB69A2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7AAD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508392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Biolegend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95928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420403</w:t>
            </w:r>
          </w:p>
        </w:tc>
      </w:tr>
      <w:tr w14:paraId="20D7A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7940FB7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DAPI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FD0D3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Solarbio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F15F0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C0060</w:t>
            </w:r>
          </w:p>
        </w:tc>
      </w:tr>
      <w:tr w14:paraId="6317E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15A66F70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Trucount™ Trucount Absolute Counting Tubes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C83D65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BD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158642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340334</w:t>
            </w:r>
          </w:p>
        </w:tc>
      </w:tr>
      <w:tr w14:paraId="168F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0BCEA03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Sodium citrate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E6008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Vocas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B00A7F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68-04-2</w:t>
            </w:r>
          </w:p>
        </w:tc>
      </w:tr>
      <w:tr w14:paraId="6DD0F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1BF4B1EA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Ethylene Diamine Tetraacetic Acid (EDTA, 0.5M)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5A2CAF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Solarbio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7104C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E1170 </w:t>
            </w:r>
          </w:p>
        </w:tc>
      </w:tr>
      <w:tr w14:paraId="49F25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05022CA1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NaCl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76DBF4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Kerme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DE0F3B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7647-14-5</w:t>
            </w:r>
          </w:p>
        </w:tc>
      </w:tr>
      <w:tr w14:paraId="33B3F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3964" w:type="dxa"/>
            <w:shd w:val="clear" w:color="auto" w:fill="auto"/>
            <w:vAlign w:val="center"/>
          </w:tcPr>
          <w:p w14:paraId="723F63D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Triton-X-100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E71365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Biotech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DFB1C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P0096 </w:t>
            </w:r>
          </w:p>
        </w:tc>
      </w:tr>
      <w:tr w14:paraId="7FEBF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1B6EF342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Sucrose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76E6A0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Solarbio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7A2BB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S8271 </w:t>
            </w:r>
          </w:p>
        </w:tc>
      </w:tr>
      <w:tr w14:paraId="1E8D3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196459F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4% Paraformaldehyde (PFA) tissue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fixation solution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DC4AB2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Solarbio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2A7311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P1110 </w:t>
            </w:r>
          </w:p>
        </w:tc>
      </w:tr>
      <w:tr w14:paraId="295E4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2B4F29B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Phosphate Buffer Saline (PBS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013AB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Beyotime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36260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C0221A</w:t>
            </w:r>
          </w:p>
        </w:tc>
      </w:tr>
      <w:tr w14:paraId="4F3A9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2152E2A0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Penicillin/Streptomycin/Amphotericin B, sterile solution (100×)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CCCD2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Solarbio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E6E70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P7630</w:t>
            </w:r>
          </w:p>
        </w:tc>
      </w:tr>
      <w:tr w14:paraId="6C013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151AA09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Gelatin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907AB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Solarbio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C12DA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G8061</w:t>
            </w:r>
          </w:p>
        </w:tc>
      </w:tr>
      <w:tr w14:paraId="2CF2C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04DD0F6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ryptone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A58943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Oxoid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8F9FCF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LP0042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</w:tr>
      <w:tr w14:paraId="033B0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7977A3B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Yeast Extract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D13005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Oxoid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2C3004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Cat#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LP0021B</w:t>
            </w:r>
          </w:p>
        </w:tc>
      </w:tr>
      <w:tr w14:paraId="05010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09B7D1A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Red Blood Cell Lysis Buffer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F37D97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Solarbio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25ECF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R1010</w:t>
            </w:r>
          </w:p>
        </w:tc>
      </w:tr>
      <w:tr w14:paraId="438E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13D106D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Collagenase 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7E0661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Sigma-Aldrich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8A23D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C2674</w:t>
            </w:r>
          </w:p>
        </w:tc>
      </w:tr>
      <w:tr w14:paraId="6F3B8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5D8C20F2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DN25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71DBC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Sigma-Aldrich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D165CF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 9003-98-9</w:t>
            </w:r>
          </w:p>
        </w:tc>
      </w:tr>
      <w:tr w14:paraId="6F613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58BE9C13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RNase Inhibitor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(40U/μl)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76676F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nvitrogen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6AE1B2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AM2684</w:t>
            </w:r>
          </w:p>
        </w:tc>
      </w:tr>
      <w:tr w14:paraId="357C9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7EAFDCD4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Nuclease-free water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B7B09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Peprotech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FF8421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315-14</w:t>
            </w:r>
          </w:p>
        </w:tc>
      </w:tr>
      <w:tr w14:paraId="62991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084359F7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dNTP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(10 mM)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DF1AA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Fermentas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0EE5F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R0193</w:t>
            </w:r>
          </w:p>
        </w:tc>
      </w:tr>
      <w:tr w14:paraId="6A4CC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264957E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10% Triton X-100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BEB6E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Sigma-Aldrich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7C72C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T8787</w:t>
            </w:r>
          </w:p>
        </w:tc>
      </w:tr>
      <w:tr w14:paraId="22658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3964" w:type="dxa"/>
            <w:shd w:val="clear" w:color="auto" w:fill="auto"/>
            <w:vAlign w:val="center"/>
          </w:tcPr>
          <w:p w14:paraId="7E0BCBC4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10% Neutral Buffered Formalin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ED5D24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Sigma-Aldrich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14DD0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HT501128</w:t>
            </w:r>
          </w:p>
        </w:tc>
      </w:tr>
      <w:tr w14:paraId="61030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shd w:val="clear" w:color="auto" w:fill="auto"/>
            <w:vAlign w:val="center"/>
          </w:tcPr>
          <w:p w14:paraId="1E9395A7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0.1M DTT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E0EE8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Invitrogen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2C6A9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18064-071</w:t>
            </w:r>
          </w:p>
        </w:tc>
      </w:tr>
      <w:tr w14:paraId="3E0DE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shd w:val="clear" w:color="auto" w:fill="auto"/>
            <w:vAlign w:val="center"/>
          </w:tcPr>
          <w:p w14:paraId="4D7A8FD7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Betaine (5M)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ECFF7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Sigma-Aldrich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11B307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61962</w:t>
            </w:r>
          </w:p>
        </w:tc>
      </w:tr>
      <w:tr w14:paraId="376D2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shd w:val="clear" w:color="auto" w:fill="auto"/>
            <w:vAlign w:val="center"/>
          </w:tcPr>
          <w:p w14:paraId="36616565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MgCl2 (1M)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7BB63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Sigma-Aldrich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0A7D14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M8266</w:t>
            </w:r>
          </w:p>
        </w:tc>
      </w:tr>
      <w:tr w14:paraId="6AF76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964" w:type="dxa"/>
            <w:shd w:val="clear" w:color="auto" w:fill="auto"/>
            <w:vAlign w:val="center"/>
          </w:tcPr>
          <w:p w14:paraId="72D636C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KAPA HiFi HotStart ReadyMix (2x)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00498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KAPA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11CD21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Kk2602</w:t>
            </w:r>
          </w:p>
        </w:tc>
      </w:tr>
      <w:tr w14:paraId="68C69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shd w:val="clear" w:color="auto" w:fill="auto"/>
            <w:vAlign w:val="center"/>
          </w:tcPr>
          <w:p w14:paraId="3103268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1M Tris-HCL（pH7.5）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EA17C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Sigma-Aldrich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9F2E7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 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T2944</w:t>
            </w:r>
          </w:p>
        </w:tc>
      </w:tr>
      <w:tr w14:paraId="11A5B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shd w:val="clear" w:color="auto" w:fill="auto"/>
            <w:vAlign w:val="center"/>
          </w:tcPr>
          <w:p w14:paraId="24BA692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Dynabeads® MyOne™ Streptavidin C1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6169B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Invitrogen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217C2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65001</w:t>
            </w:r>
          </w:p>
        </w:tc>
      </w:tr>
      <w:tr w14:paraId="7EB95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shd w:val="clear" w:color="auto" w:fill="auto"/>
            <w:vAlign w:val="center"/>
          </w:tcPr>
          <w:p w14:paraId="1E5E6BA9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AMPure XP beads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54E1D3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Beckman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6834AA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A63882</w:t>
            </w:r>
          </w:p>
        </w:tc>
      </w:tr>
      <w:tr w14:paraId="19EFD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shd w:val="clear" w:color="auto" w:fill="auto"/>
            <w:vAlign w:val="center"/>
          </w:tcPr>
          <w:p w14:paraId="27200615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SuperScript II reverse transcriptase(200 U/μl)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9624C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Invitrogen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0DB545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18064-071</w:t>
            </w:r>
          </w:p>
        </w:tc>
      </w:tr>
      <w:tr w14:paraId="7B5FE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shd w:val="clear" w:color="auto" w:fill="auto"/>
            <w:vAlign w:val="center"/>
          </w:tcPr>
          <w:p w14:paraId="21F5876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Superscript II first-strand buffer(5x)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591ED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Invitrogen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01DBF3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18064-071</w:t>
            </w:r>
          </w:p>
        </w:tc>
      </w:tr>
      <w:tr w14:paraId="6ADAB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shd w:val="clear" w:color="auto" w:fill="auto"/>
            <w:vAlign w:val="center"/>
          </w:tcPr>
          <w:p w14:paraId="358DB8E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Mouse IL-2 Recombinant Protein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681685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PeproTech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69E1EF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212-12-20UG</w:t>
            </w:r>
          </w:p>
        </w:tc>
      </w:tr>
      <w:tr w14:paraId="5972D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shd w:val="clear" w:color="auto" w:fill="auto"/>
            <w:vAlign w:val="center"/>
          </w:tcPr>
          <w:p w14:paraId="15FCF84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Thrombin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420CA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Sigma-Aldrich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1F6C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Cat# T9326-150UN</w:t>
            </w:r>
          </w:p>
        </w:tc>
      </w:tr>
      <w:tr w14:paraId="217D5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217" w:type="dxa"/>
            <w:gridSpan w:val="3"/>
            <w:shd w:val="clear" w:color="auto" w:fill="FBE6D6" w:themeFill="accent2" w:themeFillTint="32"/>
            <w:vAlign w:val="center"/>
          </w:tcPr>
          <w:p w14:paraId="292F953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Critical commercial assays</w:t>
            </w:r>
          </w:p>
        </w:tc>
      </w:tr>
      <w:tr w14:paraId="29BD3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shd w:val="clear" w:color="auto" w:fill="auto"/>
            <w:vAlign w:val="center"/>
          </w:tcPr>
          <w:p w14:paraId="614A6AE2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222222"/>
                <w:kern w:val="0"/>
                <w:sz w:val="18"/>
                <w:szCs w:val="18"/>
                <w:lang w:bidi="ar"/>
              </w:rPr>
              <w:t xml:space="preserve">KAPA Hyper Prep Kits with PCR Library </w:t>
            </w:r>
          </w:p>
          <w:p w14:paraId="7EF33E6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222222"/>
                <w:kern w:val="0"/>
                <w:sz w:val="18"/>
                <w:szCs w:val="18"/>
                <w:lang w:bidi="ar"/>
              </w:rPr>
              <w:t>Amplification/Illumina series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AF1C7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222222"/>
                <w:kern w:val="0"/>
                <w:sz w:val="18"/>
                <w:szCs w:val="18"/>
                <w:lang w:bidi="ar"/>
              </w:rPr>
              <w:t>KAPA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E3C9A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222222"/>
                <w:kern w:val="0"/>
                <w:sz w:val="18"/>
                <w:szCs w:val="18"/>
                <w:lang w:bidi="ar"/>
              </w:rPr>
              <w:t>Cat# KK8504</w:t>
            </w:r>
          </w:p>
        </w:tc>
      </w:tr>
      <w:tr w14:paraId="0CBE5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shd w:val="clear" w:color="auto" w:fill="auto"/>
            <w:vAlign w:val="center"/>
          </w:tcPr>
          <w:p w14:paraId="5A15E15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222222"/>
                <w:kern w:val="0"/>
                <w:sz w:val="18"/>
                <w:szCs w:val="18"/>
                <w:lang w:bidi="ar"/>
              </w:rPr>
              <w:t>Qubit dsDNA HS Assay Kit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73E3E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222222"/>
                <w:kern w:val="0"/>
                <w:sz w:val="18"/>
                <w:szCs w:val="18"/>
                <w:lang w:bidi="ar"/>
              </w:rPr>
              <w:t>Invitrogen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FB38C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222222"/>
                <w:kern w:val="0"/>
                <w:sz w:val="18"/>
                <w:szCs w:val="18"/>
                <w:lang w:bidi="ar"/>
              </w:rPr>
              <w:t>Cat# Q32854</w:t>
            </w:r>
          </w:p>
        </w:tc>
      </w:tr>
      <w:tr w14:paraId="0D87A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shd w:val="clear" w:color="auto" w:fill="auto"/>
            <w:vAlign w:val="center"/>
          </w:tcPr>
          <w:p w14:paraId="7D9DE92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222222"/>
                <w:kern w:val="0"/>
                <w:sz w:val="18"/>
                <w:szCs w:val="18"/>
                <w:lang w:bidi="ar"/>
              </w:rPr>
              <w:t>DNA clean&amp;Collection Kit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06FDB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222222"/>
                <w:kern w:val="0"/>
                <w:sz w:val="18"/>
                <w:szCs w:val="18"/>
                <w:lang w:bidi="ar"/>
              </w:rPr>
              <w:t>ZYMO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4079A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222222"/>
                <w:kern w:val="0"/>
                <w:sz w:val="18"/>
                <w:szCs w:val="18"/>
                <w:lang w:bidi="ar"/>
              </w:rPr>
              <w:t>Cat# D4014</w:t>
            </w:r>
          </w:p>
        </w:tc>
      </w:tr>
      <w:tr w14:paraId="5C873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shd w:val="clear" w:color="auto" w:fill="auto"/>
            <w:vAlign w:val="center"/>
          </w:tcPr>
          <w:p w14:paraId="293191C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Agilent High Sensitivity DNA Kit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B3015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Agilent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477CB1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5067-4626</w:t>
            </w:r>
          </w:p>
        </w:tc>
      </w:tr>
      <w:tr w14:paraId="14ED4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shd w:val="clear" w:color="auto" w:fill="auto"/>
            <w:vAlign w:val="center"/>
          </w:tcPr>
          <w:p w14:paraId="4B8FC05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NEB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Next Multiplex Oligos for Illumina (Index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Primers Set 1)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D2DAB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NEB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1E7EA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E7335L</w:t>
            </w:r>
          </w:p>
        </w:tc>
      </w:tr>
      <w:tr w14:paraId="06E3E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shd w:val="clear" w:color="auto" w:fill="auto"/>
            <w:vAlign w:val="center"/>
          </w:tcPr>
          <w:p w14:paraId="4CAB8BE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EasySep™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mouse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cell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Isolation Kit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CE6A43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Stemcell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DB0964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19851</w:t>
            </w:r>
          </w:p>
        </w:tc>
      </w:tr>
      <w:tr w14:paraId="24168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shd w:val="clear" w:color="auto" w:fill="auto"/>
            <w:vAlign w:val="center"/>
          </w:tcPr>
          <w:p w14:paraId="33BFAEA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Mouse CD4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superscript"/>
                <w:lang w:bidi="ar"/>
                <w14:textFill>
                  <w14:solidFill>
                    <w14:schemeClr w14:val="tx1"/>
                  </w14:solidFill>
                </w14:textFill>
              </w:rPr>
              <w:t>+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CD25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vertAlign w:val="superscript"/>
                <w:lang w:bidi="ar"/>
                <w14:textFill>
                  <w14:solidFill>
                    <w14:schemeClr w14:val="tx1"/>
                  </w14:solidFill>
                </w14:textFill>
              </w:rPr>
              <w:t>+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Regulatory T Cell Isolation Kit II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3D4F8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Stemcell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E9BF54C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18783</w:t>
            </w:r>
          </w:p>
        </w:tc>
      </w:tr>
      <w:tr w14:paraId="58C2A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3964" w:type="dxa"/>
            <w:shd w:val="clear" w:color="auto" w:fill="auto"/>
            <w:vAlign w:val="center"/>
          </w:tcPr>
          <w:p w14:paraId="2032C43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eBioscience™ Foxp3 / Transcription Factor Staining Buffer Set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D2F65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eBioscience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E53B21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Cat#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00-5523-00</w:t>
            </w:r>
          </w:p>
        </w:tc>
      </w:tr>
      <w:tr w14:paraId="22FB7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8217" w:type="dxa"/>
            <w:gridSpan w:val="3"/>
            <w:shd w:val="clear" w:color="auto" w:fill="FBE6D6" w:themeFill="accent2" w:themeFillTint="32"/>
            <w:vAlign w:val="center"/>
          </w:tcPr>
          <w:p w14:paraId="6EF0B27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Deposited data</w:t>
            </w:r>
          </w:p>
        </w:tc>
      </w:tr>
      <w:tr w14:paraId="70288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3964" w:type="dxa"/>
            <w:shd w:val="clear" w:color="auto" w:fill="auto"/>
            <w:vAlign w:val="center"/>
          </w:tcPr>
          <w:p w14:paraId="24ADDE9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Single-cell sequencing data of mouse megakaryocytes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40703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This study</w:t>
            </w:r>
          </w:p>
        </w:tc>
        <w:tc>
          <w:tcPr>
            <w:tcW w:w="2835" w:type="dxa"/>
            <w:shd w:val="clear" w:color="auto" w:fill="auto"/>
          </w:tcPr>
          <w:p w14:paraId="6C1EAEE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bidi="ar"/>
              </w:rPr>
              <w:t>National Omics Data Encyclopedia: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OED01031223, OED01031224, and OED01042029</w:t>
            </w:r>
          </w:p>
        </w:tc>
      </w:tr>
      <w:tr w14:paraId="1B353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3964" w:type="dxa"/>
            <w:shd w:val="clear" w:color="auto" w:fill="auto"/>
            <w:vAlign w:val="center"/>
          </w:tcPr>
          <w:p w14:paraId="5DAE21B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Single-cell sequencing data of human megakaryocytes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63217C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Wang et al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instrText xml:space="preserve"> ADDIN EN.CITE &lt;EndNote&gt;&lt;Cite&gt;&lt;Author&gt;Wang&lt;/Author&gt;&lt;Year&gt;2021&lt;/Year&gt;&lt;RecNum&gt;30&lt;/RecNum&gt;&lt;DisplayText&gt;&lt;style face="superscript"&gt;1&lt;/style&gt;&lt;/DisplayText&gt;&lt;record&gt;&lt;rec-number&gt;30&lt;/rec-number&gt;&lt;foreign-keys&gt;&lt;key app="EN" db-id="sad0r0t2jzd5zqe0wdapsrx9ptrst9xv9vae" timestamp="1747194445"&gt;30&lt;/key&gt;&lt;/foreign-keys&gt;&lt;ref-type name="Journal Article"&gt;17&lt;/ref-type&gt;&lt;contributors&gt;&lt;authors&gt;&lt;author&gt;Wang, Hongtao&lt;/author&gt;&lt;author&gt;He, Jian&lt;/author&gt;&lt;author&gt;Xu, Changlu&lt;/author&gt;&lt;author&gt;Chen, Xiaoyuan&lt;/author&gt;&lt;author&gt;Yang, Hua&lt;/author&gt;&lt;author&gt;Shi, Shujuan&lt;/author&gt;&lt;author&gt;Liu, Cuicui&lt;/author&gt;&lt;author&gt;Zeng, Yang&lt;/author&gt;&lt;author&gt;Wu, Dan&lt;/author&gt;&lt;author&gt;Bai, Zhijie&lt;/author&gt;&lt;author&gt;Wang, Mengge&lt;/author&gt;&lt;author&gt;Wen, Yuqi&lt;/author&gt;&lt;author&gt;Su, Pei&lt;/author&gt;&lt;author&gt;Xia, Meijuan&lt;/author&gt;&lt;author&gt;Huang, Baiming&lt;/author&gt;&lt;author&gt;Ma, Chunyu&lt;/author&gt;&lt;author&gt;Bian, Lihong&lt;/author&gt;&lt;author&gt;Lan, Yu&lt;/author&gt;&lt;author&gt;Cheng, Tao&lt;/author&gt;&lt;author&gt;Shi, Lihong&lt;/author&gt;&lt;author&gt;Liu, Bing&lt;/author&gt;&lt;author&gt;Zhou, Jiaxi&lt;/author&gt;&lt;/authors&gt;&lt;/contributors&gt;&lt;titles&gt;&lt;title&gt;Decoding human megakaryocyte development&lt;/title&gt;&lt;secondary-title&gt;Cell Stem Cell&lt;/secondary-title&gt;&lt;/titles&gt;&lt;periodical&gt;&lt;full-title&gt;Cell Stem Cell&lt;/full-title&gt;&lt;/periodical&gt;&lt;pages&gt;535-549.e8&lt;/pages&gt;&lt;volume&gt;28&lt;/volume&gt;&lt;number&gt;3&lt;/number&gt;&lt;section&gt;535&lt;/section&gt;&lt;dates&gt;&lt;year&gt;2021&lt;/year&gt;&lt;/dates&gt;&lt;isbn&gt;19345909&lt;/isbn&gt;&lt;urls&gt;&lt;/urls&gt;&lt;electronic-resource-num&gt;10.1016/j.stem.2020.11.006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;</w:t>
            </w:r>
          </w:p>
          <w:p w14:paraId="7C5023D9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Liu et al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instrText xml:space="preserve"> ADDIN EN.CITE &lt;EndNote&gt;&lt;Cite&gt;&lt;Author&gt;Liu&lt;/Author&gt;&lt;Year&gt;2021&lt;/Year&gt;&lt;RecNum&gt;69&lt;/RecNum&gt;&lt;DisplayText&gt;&lt;style face="superscript"&gt;2&lt;/style&gt;&lt;/DisplayText&gt;&lt;record&gt;&lt;rec-number&gt;69&lt;/rec-number&gt;&lt;foreign-keys&gt;&lt;key app="EN" db-id="sad0r0t2jzd5zqe0wdapsrx9ptrst9xv9vae" timestamp="1747194635"&gt;69&lt;/key&gt;&lt;/foreign-keys&gt;&lt;ref-type name="Journal Article"&gt;17&lt;/ref-type&gt;&lt;contributors&gt;&lt;authors&gt;&lt;author&gt;Liu, Cuicui&lt;/author&gt;&lt;author&gt;Huang, Baiming&lt;/author&gt;&lt;author&gt;Wang, Hongtao&lt;/author&gt;&lt;author&gt;Zhou, Jiaxi&lt;/author&gt;&lt;/authors&gt;&lt;/contributors&gt;&lt;titles&gt;&lt;title&gt;The heterogeneity of megakaryocytes and platelets and implications for ex vivo platelet generation&lt;/title&gt;&lt;secondary-title&gt;Stem Cells Translational Medicine&lt;/secondary-title&gt;&lt;/titles&gt;&lt;periodical&gt;&lt;full-title&gt;Stem Cells Translational Medicine&lt;/full-title&gt;&lt;/periodical&gt;&lt;pages&gt;1614-1620&lt;/pages&gt;&lt;volume&gt;10&lt;/volume&gt;&lt;number&gt;12&lt;/number&gt;&lt;section&gt;1614&lt;/section&gt;&lt;dates&gt;&lt;year&gt;2021&lt;/year&gt;&lt;/dates&gt;&lt;isbn&gt;2157-6564&amp;#xD;2157-6580&lt;/isbn&gt;&lt;urls&gt;&lt;/urls&gt;&lt;electronic-resource-num&gt;10.1002/sctm.21-0264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14:paraId="297C28C8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bidi="ar"/>
              </w:rPr>
              <w:t>National Omics Data Encyclopedia: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bidi="ar"/>
              </w:rPr>
              <w:t>GSE144024 and OEP001150</w:t>
            </w:r>
          </w:p>
        </w:tc>
      </w:tr>
      <w:tr w14:paraId="28DCB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217" w:type="dxa"/>
            <w:gridSpan w:val="3"/>
            <w:shd w:val="clear" w:color="auto" w:fill="FBE6D6" w:themeFill="accent2" w:themeFillTint="32"/>
            <w:vAlign w:val="center"/>
          </w:tcPr>
          <w:p w14:paraId="63BEC6C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Experimental models: Organisms/strains</w:t>
            </w:r>
          </w:p>
        </w:tc>
      </w:tr>
      <w:tr w14:paraId="2894C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3964" w:type="dxa"/>
            <w:shd w:val="clear" w:color="auto" w:fill="auto"/>
            <w:vAlign w:val="center"/>
          </w:tcPr>
          <w:p w14:paraId="37A95B9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Mouse: C57BL/6J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2CA91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Beijing HFK Bioscience Co., Ltd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60D33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Cat# 11001A</w:t>
            </w:r>
          </w:p>
        </w:tc>
      </w:tr>
      <w:tr w14:paraId="5D2E5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217" w:type="dxa"/>
            <w:gridSpan w:val="3"/>
            <w:shd w:val="clear" w:color="auto" w:fill="FBE6D6" w:themeFill="accent2" w:themeFillTint="32"/>
            <w:vAlign w:val="center"/>
          </w:tcPr>
          <w:p w14:paraId="6ED785A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Software and algorithms</w:t>
            </w:r>
          </w:p>
        </w:tc>
      </w:tr>
      <w:tr w14:paraId="12F5B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shd w:val="clear" w:color="auto" w:fill="auto"/>
          </w:tcPr>
          <w:p w14:paraId="55B0546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R (version: 4.1.0)</w:t>
            </w:r>
          </w:p>
        </w:tc>
        <w:tc>
          <w:tcPr>
            <w:tcW w:w="1418" w:type="dxa"/>
            <w:shd w:val="clear" w:color="auto" w:fill="auto"/>
          </w:tcPr>
          <w:p w14:paraId="68A1F9B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The R Foundation</w:t>
            </w:r>
          </w:p>
        </w:tc>
        <w:tc>
          <w:tcPr>
            <w:tcW w:w="2835" w:type="dxa"/>
            <w:shd w:val="clear" w:color="auto" w:fill="auto"/>
          </w:tcPr>
          <w:p w14:paraId="28F67BB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http://www.r-project.org/</w:t>
            </w:r>
          </w:p>
        </w:tc>
      </w:tr>
      <w:tr w14:paraId="23F5B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shd w:val="clear" w:color="auto" w:fill="auto"/>
          </w:tcPr>
          <w:p w14:paraId="7894617A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STAR (version 2.7.10a)</w:t>
            </w:r>
          </w:p>
        </w:tc>
        <w:tc>
          <w:tcPr>
            <w:tcW w:w="1418" w:type="dxa"/>
            <w:shd w:val="clear" w:color="auto" w:fill="auto"/>
          </w:tcPr>
          <w:p w14:paraId="6F6C7CE7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Dobin, et al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instrText xml:space="preserve"> ADDIN EN.CITE &lt;EndNote&gt;&lt;Cite&gt;&lt;Author&gt;Dobin&lt;/Author&gt;&lt;Year&gt;2013&lt;/Year&gt;&lt;RecNum&gt;85&lt;/RecNum&gt;&lt;DisplayText&gt;&lt;style face="superscript"&gt;3&lt;/style&gt;&lt;/DisplayText&gt;&lt;record&gt;&lt;rec-number&gt;85&lt;/rec-number&gt;&lt;foreign-keys&gt;&lt;key app="EN" db-id="sad0r0t2jzd5zqe0wdapsrx9ptrst9xv9vae" timestamp="1747209126"&gt;85&lt;/key&gt;&lt;/foreign-keys&gt;&lt;ref-type name="Journal Article"&gt;17&lt;/ref-type&gt;&lt;contributors&gt;&lt;authors&gt;&lt;author&gt;Dobin, A.&lt;/author&gt;&lt;author&gt;Davis, C. A.&lt;/author&gt;&lt;author&gt;Schlesinger, F.&lt;/author&gt;&lt;author&gt;Drenkow, J.&lt;/author&gt;&lt;author&gt;Zaleski, C.&lt;/author&gt;&lt;author&gt;Jha, S.&lt;/author&gt;&lt;author&gt;Batut, P.&lt;/author&gt;&lt;author&gt;Chaisson, M.&lt;/author&gt;&lt;author&gt;Gingeras, T. R.&lt;/author&gt;&lt;/authors&gt;&lt;/contributors&gt;&lt;auth-address&gt;Cold Spring Harbor Laboratory, Cold Spring Harbor, NY, USA. dobin@cshl.edu&lt;/auth-address&gt;&lt;titles&gt;&lt;title&gt;STAR: ultrafast universal RNA-seq aligner&lt;/title&gt;&lt;secondary-title&gt;Bioinformatics&lt;/secondary-title&gt;&lt;/titles&gt;&lt;periodical&gt;&lt;full-title&gt;Bioinformatics&lt;/full-title&gt;&lt;/periodical&gt;&lt;pages&gt;15-21&lt;/pages&gt;&lt;volume&gt;29&lt;/volume&gt;&lt;number&gt;1&lt;/number&gt;&lt;edition&gt;2012/10/30&lt;/edition&gt;&lt;keywords&gt;&lt;keyword&gt;Algorithms&lt;/keyword&gt;&lt;keyword&gt;Cluster Analysis&lt;/keyword&gt;&lt;keyword&gt;Gene Expression Profiling&lt;/keyword&gt;&lt;keyword&gt;Genome, Human&lt;/keyword&gt;&lt;keyword&gt;Humans&lt;/keyword&gt;&lt;keyword&gt;RNA Splicing&lt;/keyword&gt;&lt;keyword&gt;Sequence Alignment/*methods&lt;/keyword&gt;&lt;keyword&gt;Sequence Analysis, RNA/methods&lt;/keyword&gt;&lt;keyword&gt;*Software&lt;/keyword&gt;&lt;/keywords&gt;&lt;dates&gt;&lt;year&gt;2013&lt;/year&gt;&lt;pub-dates&gt;&lt;date&gt;Jan 1&lt;/date&gt;&lt;/pub-dates&gt;&lt;/dates&gt;&lt;isbn&gt;1367-4803 (Print)&amp;#xD;1367-4803&lt;/isbn&gt;&lt;accession-num&gt;23104886&lt;/accession-num&gt;&lt;urls&gt;&lt;/urls&gt;&lt;custom2&gt;PMC3530905&lt;/custom2&gt;&lt;electronic-resource-num&gt;10.1093/bioinformatics/bts635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3000A63A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http://code.google.com/p/rna-star/.</w:t>
            </w:r>
          </w:p>
        </w:tc>
      </w:tr>
      <w:tr w14:paraId="1CD57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shd w:val="clear" w:color="auto" w:fill="auto"/>
          </w:tcPr>
          <w:p w14:paraId="25C95FC6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ggpubr (version 0.6.0)</w:t>
            </w:r>
          </w:p>
        </w:tc>
        <w:tc>
          <w:tcPr>
            <w:tcW w:w="1418" w:type="dxa"/>
            <w:shd w:val="clear" w:color="auto" w:fill="auto"/>
          </w:tcPr>
          <w:p w14:paraId="396BE58E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R package</w:t>
            </w:r>
          </w:p>
        </w:tc>
        <w:tc>
          <w:tcPr>
            <w:tcW w:w="2835" w:type="dxa"/>
            <w:shd w:val="clear" w:color="auto" w:fill="auto"/>
          </w:tcPr>
          <w:p w14:paraId="7B523C05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https://github.com/kassambara/ggpubr</w:t>
            </w:r>
          </w:p>
        </w:tc>
      </w:tr>
      <w:tr w14:paraId="240C7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shd w:val="clear" w:color="auto" w:fill="auto"/>
          </w:tcPr>
          <w:p w14:paraId="44671039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ggplot2 (version 3.4.1)</w:t>
            </w:r>
          </w:p>
        </w:tc>
        <w:tc>
          <w:tcPr>
            <w:tcW w:w="1418" w:type="dxa"/>
            <w:shd w:val="clear" w:color="auto" w:fill="auto"/>
          </w:tcPr>
          <w:p w14:paraId="40E632F9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R package</w:t>
            </w:r>
          </w:p>
        </w:tc>
        <w:tc>
          <w:tcPr>
            <w:tcW w:w="2835" w:type="dxa"/>
            <w:shd w:val="clear" w:color="auto" w:fill="auto"/>
          </w:tcPr>
          <w:p w14:paraId="5A3E533F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https://ggplot2.tidyverse.org/</w:t>
            </w:r>
          </w:p>
        </w:tc>
      </w:tr>
      <w:tr w14:paraId="40C08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964" w:type="dxa"/>
            <w:shd w:val="clear" w:color="auto" w:fill="auto"/>
          </w:tcPr>
          <w:p w14:paraId="0DDB0E14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pheatmap (version 1.0.12)</w:t>
            </w:r>
          </w:p>
        </w:tc>
        <w:tc>
          <w:tcPr>
            <w:tcW w:w="1418" w:type="dxa"/>
            <w:shd w:val="clear" w:color="auto" w:fill="auto"/>
          </w:tcPr>
          <w:p w14:paraId="27B7DE3F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R package</w:t>
            </w:r>
          </w:p>
        </w:tc>
        <w:tc>
          <w:tcPr>
            <w:tcW w:w="2835" w:type="dxa"/>
            <w:shd w:val="clear" w:color="auto" w:fill="auto"/>
          </w:tcPr>
          <w:p w14:paraId="53D5ED94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instrText xml:space="preserve">HYPERLINK "https://cran.r"</w:instrTex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Style w:val="10"/>
                <w:rFonts w:hint="default" w:ascii="Times New Roman" w:hAnsi="Times New Roman" w:cs="Times New Roman"/>
                <w:sz w:val="18"/>
                <w:szCs w:val="18"/>
              </w:rPr>
              <w:t>https://cran.r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project.org/web/packages/</w:t>
            </w:r>
          </w:p>
          <w:p w14:paraId="510826AC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pheatmap/index.html</w:t>
            </w:r>
          </w:p>
        </w:tc>
      </w:tr>
      <w:tr w14:paraId="46892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shd w:val="clear" w:color="auto" w:fill="auto"/>
          </w:tcPr>
          <w:p w14:paraId="343516B8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Seurat (version 4.1.1)</w:t>
            </w:r>
          </w:p>
        </w:tc>
        <w:tc>
          <w:tcPr>
            <w:tcW w:w="1418" w:type="dxa"/>
            <w:shd w:val="clear" w:color="auto" w:fill="auto"/>
          </w:tcPr>
          <w:p w14:paraId="73B5570C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Satija et al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instrText xml:space="preserve"> ADDIN EN.CITE &lt;EndNote&gt;&lt;Cite&gt;&lt;Author&gt;Satija&lt;/Author&gt;&lt;Year&gt;2015&lt;/Year&gt;&lt;RecNum&gt;55&lt;/RecNum&gt;&lt;DisplayText&gt;&lt;style face="superscript"&gt;4&lt;/style&gt;&lt;/DisplayText&gt;&lt;record&gt;&lt;rec-number&gt;55&lt;/rec-number&gt;&lt;foreign-keys&gt;&lt;key app="EN" db-id="sad0r0t2jzd5zqe0wdapsrx9ptrst9xv9vae" timestamp="1747194567"&gt;55&lt;/key&gt;&lt;/foreign-keys&gt;&lt;ref-type name="Journal Article"&gt;17&lt;/ref-type&gt;&lt;contributors&gt;&lt;authors&gt;&lt;author&gt;Satija, Rahul&lt;/author&gt;&lt;author&gt;Farrell, Jeffrey A.&lt;/author&gt;&lt;author&gt;Gennert, David&lt;/author&gt;&lt;author&gt;Schier, Alexander F.&lt;/author&gt;&lt;author&gt;Regev, Aviv&lt;/author&gt;&lt;/authors&gt;&lt;/contributors&gt;&lt;titles&gt;&lt;title&gt;Spatial reconstruction of single-cell gene expression data&lt;/title&gt;&lt;secondary-title&gt;Nature Biotechnology&lt;/secondary-title&gt;&lt;/titles&gt;&lt;periodical&gt;&lt;full-title&gt;Nature Biotechnology&lt;/full-title&gt;&lt;/periodical&gt;&lt;pages&gt;495-502&lt;/pages&gt;&lt;volume&gt;33&lt;/volume&gt;&lt;number&gt;5&lt;/number&gt;&lt;section&gt;495&lt;/section&gt;&lt;dates&gt;&lt;year&gt;2015&lt;/year&gt;&lt;/dates&gt;&lt;isbn&gt;1087-0156&amp;#xD;1546-1696&lt;/isbn&gt;&lt;urls&gt;&lt;/urls&gt;&lt;electronic-resource-num&gt;10.1038/nbt.3192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14:paraId="0ED96F22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https://satijalab.org/seurat/index.html</w:t>
            </w:r>
          </w:p>
        </w:tc>
      </w:tr>
      <w:tr w14:paraId="48E6F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shd w:val="clear" w:color="auto" w:fill="auto"/>
          </w:tcPr>
          <w:p w14:paraId="1633F3E5">
            <w:pPr>
              <w:widowControl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SingleR(version v1.0.1)</w:t>
            </w:r>
          </w:p>
        </w:tc>
        <w:tc>
          <w:tcPr>
            <w:tcW w:w="1418" w:type="dxa"/>
            <w:shd w:val="clear" w:color="auto" w:fill="auto"/>
          </w:tcPr>
          <w:p w14:paraId="622065E4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R package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instrText xml:space="preserve"> ADDIN EN.CITE &lt;EndNote&gt;&lt;Cite&gt;&lt;Author&gt;Aran&lt;/Author&gt;&lt;Year&gt;2019&lt;/Year&gt;&lt;RecNum&gt;58&lt;/RecNum&gt;&lt;DisplayText&gt;&lt;style face="superscript"&gt;5&lt;/style&gt;&lt;/DisplayText&gt;&lt;record&gt;&lt;rec-number&gt;58&lt;/rec-number&gt;&lt;foreign-keys&gt;&lt;key app="EN" db-id="sad0r0t2jzd5zqe0wdapsrx9ptrst9xv9vae" timestamp="1747194584"&gt;58&lt;/key&gt;&lt;/foreign-keys&gt;&lt;ref-type name="Journal Article"&gt;17&lt;/ref-type&gt;&lt;contributors&gt;&lt;authors&gt;&lt;author&gt;Aran, Dvir&lt;/author&gt;&lt;author&gt;Looney, Agnieszka P.&lt;/author&gt;&lt;author&gt;Liu, Leqian&lt;/author&gt;&lt;author&gt;Wu, Esther&lt;/author&gt;&lt;author&gt;Fong, Valerie&lt;/author&gt;&lt;author&gt;Hsu, Austin&lt;/author&gt;&lt;author&gt;Chak, Suzanna&lt;/author&gt;&lt;author&gt;Naikawadi, Ram P.&lt;/author&gt;&lt;author&gt;Wolters, Paul J.&lt;/author&gt;&lt;author&gt;Abate, Adam R.&lt;/author&gt;&lt;author&gt;Butte, Atul J.&lt;/author&gt;&lt;author&gt;Bhattacharya, Mallar&lt;/author&gt;&lt;/authors&gt;&lt;/contributors&gt;&lt;titles&gt;&lt;title&gt;Reference-based analysis of lung single-cell sequencing reveals a transitional profibrotic macrophage&lt;/title&gt;&lt;secondary-title&gt;Nature Immunology&lt;/secondary-title&gt;&lt;/titles&gt;&lt;periodical&gt;&lt;full-title&gt;Nature Immunology&lt;/full-title&gt;&lt;/periodical&gt;&lt;pages&gt;163-172&lt;/pages&gt;&lt;volume&gt;20&lt;/volume&gt;&lt;number&gt;2&lt;/number&gt;&lt;section&gt;163&lt;/section&gt;&lt;dates&gt;&lt;year&gt;2019&lt;/year&gt;&lt;/dates&gt;&lt;isbn&gt;1529-2908&amp;#xD;1529-2916&lt;/isbn&gt;&lt;urls&gt;&lt;/urls&gt;&lt;electronic-resource-num&gt;10.1038/s41590-018-0276-y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superscript"/>
              </w:rPr>
              <w:t>5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14:paraId="0FF1C388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https://github.com/dviraran/SingleR</w:t>
            </w:r>
          </w:p>
        </w:tc>
      </w:tr>
      <w:tr w14:paraId="58AB1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3964" w:type="dxa"/>
            <w:shd w:val="clear" w:color="auto" w:fill="auto"/>
          </w:tcPr>
          <w:p w14:paraId="6032F4E8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FlowJo(version 10)</w:t>
            </w:r>
          </w:p>
        </w:tc>
        <w:tc>
          <w:tcPr>
            <w:tcW w:w="1418" w:type="dxa"/>
            <w:shd w:val="clear" w:color="auto" w:fill="auto"/>
          </w:tcPr>
          <w:p w14:paraId="1DEA5574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TreeStar</w:t>
            </w:r>
          </w:p>
        </w:tc>
        <w:tc>
          <w:tcPr>
            <w:tcW w:w="2835" w:type="dxa"/>
            <w:shd w:val="clear" w:color="auto" w:fill="auto"/>
          </w:tcPr>
          <w:p w14:paraId="41DD0F91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http://www.flowjo.com</w:t>
            </w:r>
          </w:p>
        </w:tc>
      </w:tr>
      <w:tr w14:paraId="06715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964" w:type="dxa"/>
            <w:shd w:val="clear" w:color="auto" w:fill="auto"/>
          </w:tcPr>
          <w:p w14:paraId="35DE9285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GraphPad Prism(version 8.0.1)</w:t>
            </w:r>
          </w:p>
        </w:tc>
        <w:tc>
          <w:tcPr>
            <w:tcW w:w="1418" w:type="dxa"/>
            <w:shd w:val="clear" w:color="auto" w:fill="auto"/>
          </w:tcPr>
          <w:p w14:paraId="36A7D035"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GraphPad Software</w:t>
            </w:r>
          </w:p>
        </w:tc>
        <w:tc>
          <w:tcPr>
            <w:tcW w:w="2835" w:type="dxa"/>
            <w:shd w:val="clear" w:color="auto" w:fill="auto"/>
          </w:tcPr>
          <w:p w14:paraId="5EEB5D90">
            <w:pPr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http://www.graphpad.com</w:t>
            </w:r>
          </w:p>
        </w:tc>
      </w:tr>
      <w:tr w14:paraId="6BA38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3964" w:type="dxa"/>
            <w:shd w:val="clear" w:color="auto" w:fill="auto"/>
          </w:tcPr>
          <w:p w14:paraId="44DB711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Imaris(version 9.0.1)</w:t>
            </w:r>
          </w:p>
        </w:tc>
        <w:tc>
          <w:tcPr>
            <w:tcW w:w="1418" w:type="dxa"/>
            <w:shd w:val="clear" w:color="auto" w:fill="auto"/>
          </w:tcPr>
          <w:p w14:paraId="318F19C3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Bitplane, Oxford Instrument Company</w:t>
            </w:r>
          </w:p>
        </w:tc>
        <w:tc>
          <w:tcPr>
            <w:tcW w:w="2835" w:type="dxa"/>
            <w:shd w:val="clear" w:color="auto" w:fill="auto"/>
          </w:tcPr>
          <w:p w14:paraId="59DC1878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http://imaris.oxinst.com</w:t>
            </w:r>
          </w:p>
        </w:tc>
      </w:tr>
      <w:tr w14:paraId="6F1DB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3964" w:type="dxa"/>
            <w:shd w:val="clear" w:color="auto" w:fill="auto"/>
          </w:tcPr>
          <w:p w14:paraId="24D45D35">
            <w:pPr>
              <w:widowControl/>
              <w:jc w:val="left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NDP.view2</w:t>
            </w:r>
          </w:p>
        </w:tc>
        <w:tc>
          <w:tcPr>
            <w:tcW w:w="1418" w:type="dxa"/>
            <w:shd w:val="clear" w:color="auto" w:fill="auto"/>
          </w:tcPr>
          <w:p w14:paraId="0230AB6E">
            <w:pPr>
              <w:widowControl/>
              <w:jc w:val="left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 w:eastAsiaTheme="minorEastAsia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Hamamatsu Photonics K.K. (EU, Japan, UK, USA)</w:t>
            </w:r>
          </w:p>
        </w:tc>
        <w:tc>
          <w:tcPr>
            <w:tcW w:w="2835" w:type="dxa"/>
            <w:shd w:val="clear" w:color="auto" w:fill="auto"/>
          </w:tcPr>
          <w:p w14:paraId="6FA0E506">
            <w:pPr>
              <w:jc w:val="left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http://www.</w:t>
            </w: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hamamatsu.</w:t>
            </w: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.com</w:t>
            </w:r>
          </w:p>
        </w:tc>
      </w:tr>
      <w:tr w14:paraId="39268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3964" w:type="dxa"/>
            <w:shd w:val="clear" w:color="auto" w:fill="auto"/>
          </w:tcPr>
          <w:p w14:paraId="204E8529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IDEAS softw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18"/>
                <w:szCs w:val="18"/>
                <w:highlight w:val="none"/>
                <w:shd w:val="clear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are</w:t>
            </w: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highlight w:val="none"/>
                <w:shd w:val="clear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kern w:val="2"/>
                <w:sz w:val="18"/>
                <w:szCs w:val="18"/>
                <w:shd w:val="clear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Version 6.2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18"/>
                <w:szCs w:val="18"/>
                <w:shd w:val="clear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14:paraId="731B7518">
            <w:pPr>
              <w:widowControl/>
              <w:jc w:val="left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Amnis, Luminex Corporation</w:t>
            </w:r>
          </w:p>
        </w:tc>
        <w:tc>
          <w:tcPr>
            <w:tcW w:w="2835" w:type="dxa"/>
            <w:shd w:val="clear" w:color="auto" w:fill="auto"/>
          </w:tcPr>
          <w:p w14:paraId="76FF456E">
            <w:pPr>
              <w:jc w:val="left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http:</w:t>
            </w: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//</w:t>
            </w: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www.amnis.com</w:t>
            </w:r>
          </w:p>
          <w:p w14:paraId="72E5CEEA">
            <w:pPr>
              <w:jc w:val="left"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0"/>
    </w:tbl>
    <w:p w14:paraId="2C672459">
      <w:pPr>
        <w:ind w:left="0" w:firstLine="0"/>
        <w:rPr>
          <w:rFonts w:hint="eastAsia" w:ascii="Times New Roman" w:hAnsi="Times New Roman" w:eastAsia="等线" w:cs="Times New Roman"/>
          <w:b/>
          <w:bCs/>
          <w:sz w:val="24"/>
          <w14:ligatures w14:val="standardContextual"/>
        </w:rPr>
      </w:pPr>
    </w:p>
    <w:p w14:paraId="5DDC8CE3">
      <w:pPr>
        <w:spacing w:after="160" w:line="360" w:lineRule="auto"/>
        <w:rPr>
          <w:rFonts w:ascii="Times New Roman" w:hAnsi="Times New Roman" w:eastAsia="等线" w:cs="Times New Roman"/>
          <w:sz w:val="21"/>
          <w:szCs w:val="21"/>
          <w14:ligatures w14:val="standardContextual"/>
        </w:rPr>
      </w:pPr>
    </w:p>
    <w:p w14:paraId="44297F95">
      <w:pPr>
        <w:rPr>
          <w:rFonts w:ascii="Times New Roman" w:hAnsi="Times New Roman" w:cs="Times New Roman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ad0r0t2jzd5zqe0wdapsrx9ptrst9xv9vae&quot;&gt;My EndNote Library&lt;record-ids&gt;&lt;item&gt;30&lt;/item&gt;&lt;item&gt;55&lt;/item&gt;&lt;item&gt;58&lt;/item&gt;&lt;item&gt;69&lt;/item&gt;&lt;item&gt;85&lt;/item&gt;&lt;/record-ids&gt;&lt;/item&gt;&lt;/Libraries&gt;"/>
  </w:docVars>
  <w:rsids>
    <w:rsidRoot w:val="00322E75"/>
    <w:rsid w:val="000A686B"/>
    <w:rsid w:val="001672A6"/>
    <w:rsid w:val="00193023"/>
    <w:rsid w:val="001F1E53"/>
    <w:rsid w:val="00287C35"/>
    <w:rsid w:val="002A102F"/>
    <w:rsid w:val="00322E75"/>
    <w:rsid w:val="003561C9"/>
    <w:rsid w:val="00431435"/>
    <w:rsid w:val="004A7CE4"/>
    <w:rsid w:val="004B058B"/>
    <w:rsid w:val="00655863"/>
    <w:rsid w:val="0068091D"/>
    <w:rsid w:val="006A5F38"/>
    <w:rsid w:val="006B4242"/>
    <w:rsid w:val="006C0224"/>
    <w:rsid w:val="006F655D"/>
    <w:rsid w:val="00701769"/>
    <w:rsid w:val="00780829"/>
    <w:rsid w:val="00850EFF"/>
    <w:rsid w:val="00882BD8"/>
    <w:rsid w:val="00946896"/>
    <w:rsid w:val="009B7278"/>
    <w:rsid w:val="00A205CF"/>
    <w:rsid w:val="00A36524"/>
    <w:rsid w:val="00A50701"/>
    <w:rsid w:val="00A83B27"/>
    <w:rsid w:val="00A85C4F"/>
    <w:rsid w:val="00B16DA9"/>
    <w:rsid w:val="00B52075"/>
    <w:rsid w:val="00B71080"/>
    <w:rsid w:val="00BD70C6"/>
    <w:rsid w:val="00BE7A41"/>
    <w:rsid w:val="00C21A92"/>
    <w:rsid w:val="00C6191F"/>
    <w:rsid w:val="00D21BF1"/>
    <w:rsid w:val="00D30A18"/>
    <w:rsid w:val="00D76A85"/>
    <w:rsid w:val="00ED6E66"/>
    <w:rsid w:val="00EF07F1"/>
    <w:rsid w:val="00FA2D44"/>
    <w:rsid w:val="01F1594A"/>
    <w:rsid w:val="03F359AA"/>
    <w:rsid w:val="051D4572"/>
    <w:rsid w:val="06826B71"/>
    <w:rsid w:val="07006461"/>
    <w:rsid w:val="07B62F76"/>
    <w:rsid w:val="084F044D"/>
    <w:rsid w:val="086E091D"/>
    <w:rsid w:val="093658C6"/>
    <w:rsid w:val="09532A47"/>
    <w:rsid w:val="0ABC6A61"/>
    <w:rsid w:val="0B9C0C25"/>
    <w:rsid w:val="0C0A55FD"/>
    <w:rsid w:val="0C2426FD"/>
    <w:rsid w:val="0C2A5CE1"/>
    <w:rsid w:val="0D8C60B4"/>
    <w:rsid w:val="0E0B1B42"/>
    <w:rsid w:val="0F4672D5"/>
    <w:rsid w:val="0F993B08"/>
    <w:rsid w:val="10F45E80"/>
    <w:rsid w:val="115B4B8E"/>
    <w:rsid w:val="122431D2"/>
    <w:rsid w:val="12E56E05"/>
    <w:rsid w:val="13BE5FB1"/>
    <w:rsid w:val="187D5D2E"/>
    <w:rsid w:val="18FA7960"/>
    <w:rsid w:val="19575C3B"/>
    <w:rsid w:val="1CE67A02"/>
    <w:rsid w:val="23231C5F"/>
    <w:rsid w:val="2329518C"/>
    <w:rsid w:val="238516E6"/>
    <w:rsid w:val="23F523C3"/>
    <w:rsid w:val="271E423C"/>
    <w:rsid w:val="28C87E31"/>
    <w:rsid w:val="297B6D20"/>
    <w:rsid w:val="29EB7391"/>
    <w:rsid w:val="2B157704"/>
    <w:rsid w:val="2D245FEA"/>
    <w:rsid w:val="2D502C75"/>
    <w:rsid w:val="2E1B14D5"/>
    <w:rsid w:val="2E762EBB"/>
    <w:rsid w:val="30033435"/>
    <w:rsid w:val="31505D6B"/>
    <w:rsid w:val="327E248B"/>
    <w:rsid w:val="339F38EE"/>
    <w:rsid w:val="35DB7EC8"/>
    <w:rsid w:val="387C7B59"/>
    <w:rsid w:val="39676A46"/>
    <w:rsid w:val="39736669"/>
    <w:rsid w:val="3B070FC8"/>
    <w:rsid w:val="3B381D36"/>
    <w:rsid w:val="3C30439E"/>
    <w:rsid w:val="3D787406"/>
    <w:rsid w:val="4093139F"/>
    <w:rsid w:val="42044303"/>
    <w:rsid w:val="42A61EB8"/>
    <w:rsid w:val="4AD14F9E"/>
    <w:rsid w:val="4CEA67EB"/>
    <w:rsid w:val="4CFF4044"/>
    <w:rsid w:val="4E4B5067"/>
    <w:rsid w:val="531B76FE"/>
    <w:rsid w:val="535D7D17"/>
    <w:rsid w:val="54FF4258"/>
    <w:rsid w:val="5ACC1A03"/>
    <w:rsid w:val="604B5382"/>
    <w:rsid w:val="62C552CC"/>
    <w:rsid w:val="651A7E70"/>
    <w:rsid w:val="67714F23"/>
    <w:rsid w:val="68BC0AC3"/>
    <w:rsid w:val="696C3DC2"/>
    <w:rsid w:val="6ABE3428"/>
    <w:rsid w:val="6EB30D28"/>
    <w:rsid w:val="6EDB0235"/>
    <w:rsid w:val="6F8A6EBF"/>
    <w:rsid w:val="707C3AAA"/>
    <w:rsid w:val="70C65071"/>
    <w:rsid w:val="715F2A54"/>
    <w:rsid w:val="71844269"/>
    <w:rsid w:val="71B72890"/>
    <w:rsid w:val="73316578"/>
    <w:rsid w:val="733A1083"/>
    <w:rsid w:val="737E18B7"/>
    <w:rsid w:val="73FC458A"/>
    <w:rsid w:val="7A2D5DFC"/>
    <w:rsid w:val="7A727261"/>
    <w:rsid w:val="7A9D6321"/>
    <w:rsid w:val="7AEF46D7"/>
    <w:rsid w:val="7B032A3A"/>
    <w:rsid w:val="7EE12002"/>
    <w:rsid w:val="7F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font41"/>
    <w:basedOn w:val="9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12">
    <w:name w:val="font11"/>
    <w:basedOn w:val="9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3">
    <w:name w:val="font31"/>
    <w:basedOn w:val="9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14">
    <w:name w:val="font21"/>
    <w:basedOn w:val="9"/>
    <w:qFormat/>
    <w:uiPriority w:val="0"/>
    <w:rPr>
      <w:rFonts w:hint="default" w:ascii="Arial" w:hAnsi="Arial" w:cs="Arial"/>
      <w:color w:val="000000"/>
      <w:sz w:val="28"/>
      <w:szCs w:val="28"/>
      <w:u w:val="none"/>
    </w:rPr>
  </w:style>
  <w:style w:type="character" w:customStyle="1" w:styleId="15">
    <w:name w:val="font51"/>
    <w:basedOn w:val="9"/>
    <w:qFormat/>
    <w:uiPriority w:val="0"/>
    <w:rPr>
      <w:rFonts w:hint="default" w:ascii="Arial" w:hAnsi="Arial" w:cs="Arial"/>
      <w:color w:val="FF0000"/>
      <w:sz w:val="28"/>
      <w:szCs w:val="28"/>
      <w:u w:val="none"/>
    </w:rPr>
  </w:style>
  <w:style w:type="character" w:customStyle="1" w:styleId="16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8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9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0">
    <w:name w:val="EndNote Bibliography Title"/>
    <w:basedOn w:val="1"/>
    <w:link w:val="21"/>
    <w:qFormat/>
    <w:uiPriority w:val="0"/>
    <w:pPr>
      <w:jc w:val="center"/>
    </w:pPr>
    <w:rPr>
      <w:rFonts w:ascii="Calibri" w:hAnsi="Calibri" w:cs="Calibri"/>
      <w:sz w:val="20"/>
    </w:rPr>
  </w:style>
  <w:style w:type="character" w:customStyle="1" w:styleId="21">
    <w:name w:val="EndNote Bibliography Title 字符"/>
    <w:basedOn w:val="9"/>
    <w:link w:val="20"/>
    <w:qFormat/>
    <w:uiPriority w:val="0"/>
    <w:rPr>
      <w:rFonts w:ascii="Calibri" w:hAnsi="Calibri" w:cs="Calibri" w:eastAsiaTheme="minorEastAsia"/>
      <w:kern w:val="2"/>
      <w:szCs w:val="24"/>
    </w:rPr>
  </w:style>
  <w:style w:type="paragraph" w:customStyle="1" w:styleId="22">
    <w:name w:val="EndNote Bibliography"/>
    <w:basedOn w:val="1"/>
    <w:link w:val="23"/>
    <w:qFormat/>
    <w:uiPriority w:val="0"/>
    <w:rPr>
      <w:rFonts w:ascii="Calibri" w:hAnsi="Calibri" w:cs="Calibri"/>
      <w:sz w:val="20"/>
    </w:rPr>
  </w:style>
  <w:style w:type="character" w:customStyle="1" w:styleId="23">
    <w:name w:val="EndNote Bibliography 字符"/>
    <w:basedOn w:val="9"/>
    <w:link w:val="22"/>
    <w:qFormat/>
    <w:uiPriority w:val="0"/>
    <w:rPr>
      <w:rFonts w:ascii="Calibri" w:hAnsi="Calibri" w:cs="Calibri" w:eastAsiaTheme="minorEastAsia"/>
      <w:kern w:val="2"/>
      <w:szCs w:val="24"/>
    </w:rPr>
  </w:style>
  <w:style w:type="paragraph" w:customStyle="1" w:styleId="2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731</Words>
  <Characters>4805</Characters>
  <Lines>2153</Lines>
  <Paragraphs>1010</Paragraphs>
  <TotalTime>3</TotalTime>
  <ScaleCrop>false</ScaleCrop>
  <LinksUpToDate>false</LinksUpToDate>
  <CharactersWithSpaces>5277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2025-05-14T08:39:00Z</dcterms:created>
  <dc:creator>15770</dc:creator>
  <cp:lastModifiedBy>沸沸</cp:lastModifiedBy>
  <dcterms:modified xsi:type="dcterms:W3CDTF">2026-09-21T10:31:17Z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eyJoZGlkIjoiMWI4NWYzZGFkNDJiYTY1ODFjMTg3YjM5MmNjODNlNDkiLCJ1c2VySWQiOiI0NTcyNDkwNTUifQ==</vt:lpwstr>
  </property>
  <property fmtid="{D5CDD505-2E9C-101B-9397-08002B2CF9AE}" pid="4" name="ICV">
    <vt:lpwstr>3CC5D749478142C5B176B80A6426F323_13</vt:lpwstr>
  </property>
</Properties>
</file>